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E9628" w14:textId="321CDCE1" w:rsidR="00432078" w:rsidRDefault="00432078"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Pr>
          <w:rFonts w:ascii="Arial" w:eastAsia="바탕" w:hAnsi="Arial" w:cs="Arial"/>
          <w:b/>
          <w:bCs/>
          <w:sz w:val="24"/>
          <w:szCs w:val="24"/>
        </w:rPr>
        <w:tab/>
      </w:r>
      <w:r>
        <w:rPr>
          <w:rFonts w:ascii="Arial" w:eastAsia="바탕" w:hAnsi="Arial" w:cs="Arial"/>
          <w:b/>
          <w:bCs/>
          <w:sz w:val="24"/>
          <w:szCs w:val="24"/>
        </w:rPr>
        <w:tab/>
      </w:r>
      <w:r>
        <w:rPr>
          <w:rFonts w:ascii="Arial" w:eastAsia="바탕" w:hAnsi="Arial" w:cs="Arial"/>
          <w:b/>
          <w:bCs/>
          <w:sz w:val="24"/>
          <w:szCs w:val="24"/>
        </w:rPr>
        <w:tab/>
        <w:t xml:space="preserve"> </w:t>
      </w:r>
    </w:p>
    <w:p w14:paraId="1F0B4FA2" w14:textId="318BBF76" w:rsidR="0060224E" w:rsidRPr="0060224E" w:rsidRDefault="00432078"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432078">
        <w:rPr>
          <w:rFonts w:ascii="Arial" w:eastAsia="바탕" w:hAnsi="Arial" w:cs="Arial"/>
          <w:b/>
          <w:bCs/>
          <w:sz w:val="24"/>
          <w:szCs w:val="24"/>
        </w:rPr>
        <w:t xml:space="preserve">3GPP TSG RAN </w:t>
      </w:r>
      <w:r>
        <w:rPr>
          <w:rFonts w:ascii="Arial" w:eastAsia="바탕" w:hAnsi="Arial" w:cs="Arial"/>
          <w:b/>
          <w:bCs/>
          <w:sz w:val="24"/>
          <w:szCs w:val="24"/>
        </w:rPr>
        <w:t>WG1 #111</w:t>
      </w:r>
      <w:r w:rsidR="0060224E">
        <w:rPr>
          <w:rFonts w:ascii="Arial" w:eastAsia="바탕" w:hAnsi="Arial" w:cs="Arial"/>
          <w:b/>
          <w:bCs/>
          <w:sz w:val="24"/>
          <w:szCs w:val="24"/>
        </w:rPr>
        <w:tab/>
      </w:r>
      <w:r w:rsidR="0060224E">
        <w:rPr>
          <w:rFonts w:ascii="Arial" w:eastAsia="바탕" w:hAnsi="Arial" w:cs="Arial"/>
          <w:b/>
          <w:bCs/>
          <w:sz w:val="24"/>
          <w:szCs w:val="24"/>
        </w:rPr>
        <w:tab/>
      </w:r>
      <w:r w:rsidR="0060224E">
        <w:rPr>
          <w:rFonts w:ascii="Arial" w:eastAsia="바탕" w:hAnsi="Arial" w:cs="Arial"/>
          <w:b/>
          <w:bCs/>
          <w:sz w:val="24"/>
          <w:szCs w:val="24"/>
        </w:rPr>
        <w:tab/>
        <w:t>R1-</w:t>
      </w:r>
      <w:r w:rsidR="009625FD">
        <w:rPr>
          <w:rFonts w:ascii="Arial" w:eastAsia="바탕" w:hAnsi="Arial" w:cs="Arial"/>
          <w:b/>
          <w:bCs/>
          <w:sz w:val="24"/>
          <w:szCs w:val="24"/>
        </w:rPr>
        <w:t>2212306</w:t>
      </w:r>
      <w:r w:rsidR="00C83F08" w:rsidRPr="00C83F08">
        <w:t xml:space="preserve"> </w:t>
      </w:r>
    </w:p>
    <w:p w14:paraId="05B619CD" w14:textId="4B50ADF7" w:rsidR="0060224E" w:rsidRDefault="00432078" w:rsidP="0060224E">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432078">
        <w:rPr>
          <w:rFonts w:ascii="Arial" w:eastAsia="바탕" w:hAnsi="Arial" w:cs="Arial"/>
          <w:b/>
          <w:bCs/>
          <w:sz w:val="24"/>
          <w:szCs w:val="24"/>
        </w:rPr>
        <w:t>Toulouse, France, November 14th – 18th, 2022</w:t>
      </w:r>
    </w:p>
    <w:p w14:paraId="65D0CC4C" w14:textId="65925C6E"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60224E">
        <w:rPr>
          <w:rFonts w:ascii="Arial" w:hAnsi="Arial"/>
          <w:sz w:val="24"/>
          <w:lang w:val="en-US"/>
        </w:rPr>
        <w:t>10</w:t>
      </w:r>
      <w:r w:rsidR="000A2C7C" w:rsidRPr="000A2C7C">
        <w:rPr>
          <w:rFonts w:ascii="Arial" w:hAnsi="Arial"/>
          <w:sz w:val="24"/>
          <w:lang w:val="en-US"/>
        </w:rPr>
        <w:t>.</w:t>
      </w:r>
      <w:r w:rsidR="00B04CE0">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1F3243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04CE0" w:rsidRPr="00B04CE0">
        <w:rPr>
          <w:rFonts w:ascii="Arial" w:hAnsi="Arial"/>
          <w:sz w:val="24"/>
        </w:rPr>
        <w:t>XR-specific capacity enhancements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49C26B21" w14:textId="0B2CC66A" w:rsidR="00021E44" w:rsidRDefault="00021E44"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In the last meeting, following agreements have been made for XR SI</w:t>
      </w:r>
      <w:r w:rsidR="002E5FB7">
        <w:rPr>
          <w:rFonts w:eastAsia="맑은 고딕"/>
          <w:kern w:val="2"/>
          <w:sz w:val="22"/>
          <w:szCs w:val="22"/>
          <w:lang w:val="en-US" w:eastAsia="ko-KR"/>
        </w:rPr>
        <w:t xml:space="preserve"> [1]</w:t>
      </w:r>
      <w:r>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B4FC4" w14:paraId="170B1ED7" w14:textId="77777777" w:rsidTr="00381ABB">
        <w:tc>
          <w:tcPr>
            <w:tcW w:w="9728" w:type="dxa"/>
            <w:shd w:val="clear" w:color="auto" w:fill="auto"/>
          </w:tcPr>
          <w:p w14:paraId="660045FE" w14:textId="77777777" w:rsidR="008C5FDA" w:rsidRDefault="008C5FDA" w:rsidP="0060224E">
            <w:pPr>
              <w:spacing w:before="0" w:after="0" w:line="220" w:lineRule="exact"/>
              <w:ind w:left="0" w:firstLine="0"/>
              <w:jc w:val="left"/>
              <w:rPr>
                <w:b/>
                <w:bCs/>
                <w:highlight w:val="green"/>
              </w:rPr>
            </w:pPr>
          </w:p>
          <w:p w14:paraId="1E9A1A56" w14:textId="77777777" w:rsidR="00E55763" w:rsidRPr="00E55763" w:rsidRDefault="00E55763" w:rsidP="00E55763">
            <w:pPr>
              <w:pStyle w:val="Agreement"/>
              <w:rPr>
                <w:b/>
                <w:highlight w:val="green"/>
              </w:rPr>
            </w:pPr>
            <w:r w:rsidRPr="00E55763">
              <w:rPr>
                <w:b/>
                <w:highlight w:val="green"/>
              </w:rPr>
              <w:t>Agreement</w:t>
            </w:r>
          </w:p>
          <w:p w14:paraId="18F122DF" w14:textId="77777777" w:rsidR="00E55763" w:rsidRPr="0004008C" w:rsidRDefault="00E55763" w:rsidP="00E55763">
            <w:pPr>
              <w:pStyle w:val="Agreement"/>
              <w:ind w:leftChars="100" w:left="200"/>
            </w:pPr>
            <w:r w:rsidRPr="0004008C">
              <w:t>To study whether/how the enhanced CG candidate techniques are necessary and beneficial for improving XR capacity, focus at least on the following techniques:</w:t>
            </w:r>
          </w:p>
          <w:p w14:paraId="75D37F61" w14:textId="77777777" w:rsidR="00E55763" w:rsidRPr="0004008C" w:rsidRDefault="00E55763" w:rsidP="00E55763">
            <w:pPr>
              <w:pStyle w:val="Agreement"/>
              <w:numPr>
                <w:ilvl w:val="0"/>
                <w:numId w:val="35"/>
              </w:numPr>
            </w:pPr>
            <w:r w:rsidRPr="0004008C">
              <w:t>Dynamic indication of the unused CG PUSCH occasion(s) or resource(s) by the UE</w:t>
            </w:r>
          </w:p>
          <w:p w14:paraId="4DCA992F" w14:textId="77777777" w:rsidR="00E55763" w:rsidRPr="0004008C" w:rsidRDefault="00E55763" w:rsidP="00E55763">
            <w:pPr>
              <w:pStyle w:val="Agreement"/>
              <w:numPr>
                <w:ilvl w:val="0"/>
                <w:numId w:val="35"/>
              </w:numPr>
            </w:pPr>
            <w:r w:rsidRPr="0004008C">
              <w:rPr>
                <w:rFonts w:eastAsia="맑은 고딕"/>
                <w:lang w:eastAsia="zh-CN"/>
              </w:rPr>
              <w:t xml:space="preserve">Increase CG PUSCH transmission occasions in a duration </w:t>
            </w:r>
          </w:p>
          <w:p w14:paraId="70637E1B" w14:textId="77777777" w:rsidR="00E55763" w:rsidRDefault="00E55763" w:rsidP="00E55763">
            <w:pPr>
              <w:pStyle w:val="Agreement"/>
            </w:pPr>
          </w:p>
          <w:p w14:paraId="33E9D070" w14:textId="77777777" w:rsidR="00E55763" w:rsidRPr="00E55763" w:rsidRDefault="00E55763" w:rsidP="00E55763">
            <w:pPr>
              <w:pStyle w:val="Agreement"/>
              <w:rPr>
                <w:b/>
              </w:rPr>
            </w:pPr>
            <w:r w:rsidRPr="00E55763">
              <w:rPr>
                <w:b/>
              </w:rPr>
              <w:t>Conclusion</w:t>
            </w:r>
          </w:p>
          <w:p w14:paraId="2BEE31A1" w14:textId="77777777" w:rsidR="00E55763" w:rsidRPr="00FA4438" w:rsidRDefault="00E55763" w:rsidP="00E55763">
            <w:pPr>
              <w:pStyle w:val="Agreement"/>
              <w:ind w:leftChars="100" w:left="200"/>
              <w:rPr>
                <w:rFonts w:eastAsia="Microsoft YaHei"/>
                <w:sz w:val="28"/>
                <w:szCs w:val="28"/>
              </w:rPr>
            </w:pPr>
            <w:r w:rsidRPr="00FA4438">
              <w:t xml:space="preserve">No further discussion </w:t>
            </w:r>
            <w:r>
              <w:t xml:space="preserve">in RAN1 for Rel-18 XR </w:t>
            </w:r>
            <w:r w:rsidRPr="00FA4438">
              <w:t>to extend the support of legacy single DCI scheduling multi-PDSCHs for FR2-2, to other SCS in FR1/FR2-1</w:t>
            </w:r>
            <w:r w:rsidRPr="00FA4438">
              <w:rPr>
                <w:i/>
                <w:iCs/>
              </w:rPr>
              <w:t>.</w:t>
            </w:r>
          </w:p>
          <w:p w14:paraId="6BF2B844" w14:textId="77777777" w:rsidR="00E55763" w:rsidRDefault="00E55763" w:rsidP="00E55763">
            <w:pPr>
              <w:pStyle w:val="Agreement"/>
            </w:pPr>
          </w:p>
          <w:p w14:paraId="5993ED2E" w14:textId="77777777" w:rsidR="00E55763" w:rsidRPr="00E55763" w:rsidRDefault="00E55763" w:rsidP="00E55763">
            <w:pPr>
              <w:pStyle w:val="Agreement"/>
              <w:rPr>
                <w:b/>
                <w:highlight w:val="green"/>
              </w:rPr>
            </w:pPr>
            <w:r w:rsidRPr="00E55763">
              <w:rPr>
                <w:b/>
                <w:highlight w:val="green"/>
              </w:rPr>
              <w:t>Agreement</w:t>
            </w:r>
          </w:p>
          <w:p w14:paraId="1AFEEDE2" w14:textId="77777777" w:rsidR="00E55763" w:rsidRPr="00EB199F" w:rsidRDefault="00E55763" w:rsidP="00E55763">
            <w:pPr>
              <w:pStyle w:val="Agreement"/>
              <w:numPr>
                <w:ilvl w:val="0"/>
                <w:numId w:val="35"/>
              </w:numPr>
              <w:rPr>
                <w:rFonts w:eastAsia="맑은 고딕" w:cs="Times"/>
                <w:lang w:eastAsia="zh-CN"/>
              </w:rPr>
            </w:pPr>
            <w:r w:rsidRPr="00EB199F">
              <w:rPr>
                <w:rStyle w:val="B1Zchn"/>
                <w:rFonts w:cs="Times"/>
                <w:bCs/>
              </w:rPr>
              <w:t>For further study the mechanisms</w:t>
            </w:r>
            <w:r w:rsidRPr="00EB199F">
              <w:rPr>
                <w:rStyle w:val="B1Zchn"/>
                <w:rFonts w:eastAsia="맑은 고딕" w:cs="Times"/>
                <w:bCs/>
                <w:lang w:eastAsia="zh-CN"/>
              </w:rPr>
              <w:t xml:space="preserve"> to enable </w:t>
            </w:r>
            <w:r w:rsidRPr="00EB199F">
              <w:rPr>
                <w:rFonts w:eastAsia="맑은 고딕" w:cs="Times"/>
                <w:lang w:eastAsia="zh-CN"/>
              </w:rPr>
              <w:t>HARQ retransmission of a TB on a different cell than the cell of the initial TB transmission f</w:t>
            </w:r>
            <w:r w:rsidRPr="00EB199F">
              <w:rPr>
                <w:rFonts w:cs="Times"/>
              </w:rPr>
              <w:t>or CA operation on TDD cells</w:t>
            </w:r>
            <w:r w:rsidRPr="00EB199F">
              <w:rPr>
                <w:rFonts w:eastAsia="맑은 고딕" w:cs="Times"/>
                <w:lang w:eastAsia="zh-CN"/>
              </w:rPr>
              <w:t>, consider at least the following:</w:t>
            </w:r>
          </w:p>
          <w:p w14:paraId="40F8A75B" w14:textId="77777777" w:rsidR="00E55763" w:rsidRPr="00EB199F" w:rsidRDefault="00E55763" w:rsidP="00E55763">
            <w:pPr>
              <w:pStyle w:val="Agreement"/>
              <w:numPr>
                <w:ilvl w:val="1"/>
                <w:numId w:val="33"/>
              </w:numPr>
              <w:rPr>
                <w:rFonts w:eastAsia="맑은 고딕" w:cs="Times"/>
                <w:lang w:eastAsia="zh-CN"/>
              </w:rPr>
            </w:pPr>
            <w:r w:rsidRPr="00EB199F">
              <w:rPr>
                <w:rFonts w:eastAsia="맑은 고딕" w:cs="Times"/>
                <w:lang w:eastAsia="zh-CN"/>
              </w:rPr>
              <w:t>Capacity performance evaluation results</w:t>
            </w:r>
          </w:p>
          <w:p w14:paraId="1E392700" w14:textId="77777777" w:rsidR="00E55763" w:rsidRPr="00EB199F" w:rsidRDefault="00E55763" w:rsidP="00E55763">
            <w:pPr>
              <w:pStyle w:val="Agreement"/>
              <w:numPr>
                <w:ilvl w:val="1"/>
                <w:numId w:val="33"/>
              </w:numPr>
              <w:rPr>
                <w:rFonts w:eastAsia="맑은 고딕" w:cs="Times"/>
                <w:lang w:eastAsia="zh-CN"/>
              </w:rPr>
            </w:pPr>
            <w:r w:rsidRPr="00EB199F">
              <w:rPr>
                <w:rFonts w:eastAsia="맑은 고딕" w:cs="Times"/>
                <w:lang w:eastAsia="zh-CN"/>
              </w:rPr>
              <w:t>Complexity analysis and RAN2 impact</w:t>
            </w:r>
          </w:p>
          <w:p w14:paraId="1199F5C8" w14:textId="77777777" w:rsidR="00E55763" w:rsidRPr="00EB199F" w:rsidRDefault="00E55763" w:rsidP="00E55763">
            <w:pPr>
              <w:pStyle w:val="Agreement"/>
              <w:rPr>
                <w:rFonts w:eastAsia="PMingLiU" w:cs="Times"/>
                <w:highlight w:val="yellow"/>
                <w:lang w:eastAsia="zh-TW"/>
              </w:rPr>
            </w:pPr>
          </w:p>
          <w:p w14:paraId="5A76B7C5" w14:textId="77777777" w:rsidR="00E55763" w:rsidRPr="00E55763" w:rsidRDefault="00E55763" w:rsidP="00E55763">
            <w:pPr>
              <w:pStyle w:val="Agreement"/>
              <w:rPr>
                <w:rFonts w:eastAsia="PMingLiU" w:cs="Times"/>
                <w:b/>
                <w:lang w:eastAsia="zh-TW"/>
              </w:rPr>
            </w:pPr>
            <w:r w:rsidRPr="00E55763">
              <w:rPr>
                <w:rFonts w:eastAsia="PMingLiU" w:cs="Times"/>
                <w:b/>
                <w:lang w:eastAsia="zh-TW"/>
              </w:rPr>
              <w:t>Conclusion</w:t>
            </w:r>
          </w:p>
          <w:p w14:paraId="1774F0A9" w14:textId="77777777" w:rsidR="00E55763" w:rsidRPr="00160A70" w:rsidRDefault="00E55763" w:rsidP="00E55763">
            <w:pPr>
              <w:pStyle w:val="Agreement"/>
              <w:ind w:leftChars="100" w:left="200"/>
              <w:rPr>
                <w:rFonts w:cs="Times"/>
                <w:lang w:eastAsia="en-US"/>
              </w:rPr>
            </w:pPr>
            <w:r w:rsidRPr="00160A70">
              <w:rPr>
                <w:rFonts w:cs="Times"/>
              </w:rPr>
              <w:t>N</w:t>
            </w:r>
            <w:r w:rsidRPr="00160A70">
              <w:rPr>
                <w:rFonts w:cs="Times"/>
                <w:lang w:val="de-DE"/>
              </w:rPr>
              <w:t>o consensus to continue s</w:t>
            </w:r>
            <w:r w:rsidRPr="00160A70">
              <w:rPr>
                <w:rFonts w:cs="Times"/>
                <w:lang w:eastAsia="zh-CN"/>
              </w:rPr>
              <w:t>tudy on differentiation of XR multiple flows based on CG enhancement in RAN1 XR SI.</w:t>
            </w:r>
          </w:p>
          <w:p w14:paraId="7C41530A" w14:textId="77777777" w:rsidR="00E55763" w:rsidRPr="00160A70" w:rsidRDefault="00E55763" w:rsidP="00E55763">
            <w:pPr>
              <w:pStyle w:val="Agreement"/>
              <w:rPr>
                <w:rFonts w:cs="Times"/>
                <w:lang w:eastAsia="en-US"/>
              </w:rPr>
            </w:pPr>
          </w:p>
          <w:p w14:paraId="711BAA0E" w14:textId="77777777" w:rsidR="00E55763" w:rsidRPr="00E55763" w:rsidRDefault="00E55763" w:rsidP="00E55763">
            <w:pPr>
              <w:pStyle w:val="Agreement"/>
              <w:rPr>
                <w:rFonts w:eastAsia="PMingLiU" w:cs="Times"/>
                <w:b/>
                <w:lang w:eastAsia="zh-TW"/>
              </w:rPr>
            </w:pPr>
            <w:r w:rsidRPr="00E55763">
              <w:rPr>
                <w:rFonts w:eastAsia="PMingLiU" w:cs="Times"/>
                <w:b/>
                <w:lang w:eastAsia="zh-TW"/>
              </w:rPr>
              <w:t>Conclusion</w:t>
            </w:r>
          </w:p>
          <w:p w14:paraId="4D57CC01" w14:textId="77777777" w:rsidR="00E55763" w:rsidRPr="00160A70" w:rsidRDefault="00E55763" w:rsidP="00E55763">
            <w:pPr>
              <w:pStyle w:val="Agreement"/>
              <w:ind w:leftChars="100" w:left="200"/>
              <w:rPr>
                <w:rFonts w:eastAsia="Times New Roman" w:cs="Times"/>
                <w:lang w:eastAsia="en-GB"/>
              </w:rPr>
            </w:pPr>
            <w:r w:rsidRPr="00160A70">
              <w:rPr>
                <w:rFonts w:eastAsia="Times New Roman" w:cs="Times"/>
              </w:rPr>
              <w:t xml:space="preserve">No consensus to continue </w:t>
            </w:r>
            <w:r w:rsidRPr="00160A70">
              <w:rPr>
                <w:rFonts w:eastAsia="Times New Roman" w:cs="Times"/>
                <w:lang w:eastAsia="en-GB"/>
              </w:rPr>
              <w:t>study of multi-bits SR mechanisms for capacity improvement of XR traffic in RAN1 XR SI.</w:t>
            </w:r>
          </w:p>
          <w:p w14:paraId="2F6028D4" w14:textId="00753ED0" w:rsidR="0060224E" w:rsidRPr="00E55763" w:rsidRDefault="0060224E" w:rsidP="00E55763">
            <w:pPr>
              <w:pStyle w:val="af4"/>
              <w:wordWrap/>
              <w:spacing w:after="0" w:line="220" w:lineRule="exact"/>
              <w:rPr>
                <w:bCs/>
                <w:iCs/>
                <w:szCs w:val="22"/>
                <w:lang w:val="en-GB"/>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32E84F82" w14:textId="77777777" w:rsidR="00962A84" w:rsidRDefault="00694D1C" w:rsidP="00B04CE0">
      <w:pPr>
        <w:pStyle w:val="Doc"/>
      </w:pPr>
      <w:r>
        <w:rPr>
          <w:rFonts w:hint="eastAsia"/>
        </w:rPr>
        <w:t>I</w:t>
      </w:r>
      <w:r w:rsidR="00FC4310" w:rsidRPr="00FC4310">
        <w:t>n this contribution, we present our view</w:t>
      </w:r>
      <w:r w:rsidR="00A8576C">
        <w:t>s</w:t>
      </w:r>
      <w:r w:rsidR="00FC4310" w:rsidRPr="00FC4310">
        <w:t xml:space="preserve"> on </w:t>
      </w:r>
      <w:r w:rsidR="00E3030E">
        <w:t>the</w:t>
      </w:r>
      <w:r w:rsidR="00557DBD">
        <w:t xml:space="preserve"> potential enhancements of </w:t>
      </w:r>
      <w:r w:rsidR="00B04CE0">
        <w:t>capacity enhancement</w:t>
      </w:r>
      <w:r w:rsidR="00557DBD" w:rsidRPr="00557DBD">
        <w:t xml:space="preserve"> techniques</w:t>
      </w:r>
      <w:r w:rsidR="00557DBD">
        <w:t xml:space="preserve"> for XR</w:t>
      </w:r>
      <w:r w:rsidR="00270455">
        <w:t>.</w:t>
      </w:r>
      <w:r w:rsidR="00F72FF9">
        <w:t xml:space="preserve"> </w:t>
      </w:r>
    </w:p>
    <w:p w14:paraId="49112C96" w14:textId="77777777" w:rsidR="00962A84" w:rsidRDefault="00962A84" w:rsidP="00B04CE0">
      <w:pPr>
        <w:pStyle w:val="Doc"/>
      </w:pPr>
    </w:p>
    <w:p w14:paraId="267FC6DE" w14:textId="77777777" w:rsidR="00F72FF9" w:rsidRDefault="00F72FF9" w:rsidP="00F72FF9">
      <w:pPr>
        <w:pStyle w:val="2"/>
        <w:numPr>
          <w:ilvl w:val="1"/>
          <w:numId w:val="23"/>
        </w:numPr>
      </w:pPr>
      <w:r>
        <w:t>SPS/CG enhancement for XR-specific capacity improvement</w:t>
      </w:r>
    </w:p>
    <w:p w14:paraId="3EC06A78" w14:textId="2FE30D8F" w:rsidR="00083613" w:rsidRDefault="00083613" w:rsidP="009A0D19">
      <w:pPr>
        <w:pStyle w:val="2"/>
        <w:numPr>
          <w:ilvl w:val="2"/>
          <w:numId w:val="23"/>
        </w:numPr>
        <w:rPr>
          <w:rFonts w:eastAsiaTheme="minorEastAsia"/>
        </w:rPr>
      </w:pPr>
      <w:r w:rsidRPr="00083613">
        <w:rPr>
          <w:rFonts w:eastAsiaTheme="minorEastAsia"/>
        </w:rPr>
        <w:t xml:space="preserve">Dynamic indication of the unused CG PUSCH </w:t>
      </w:r>
    </w:p>
    <w:p w14:paraId="14FB975E" w14:textId="4D127AC5" w:rsidR="00083613" w:rsidRDefault="009C240D" w:rsidP="009625FD">
      <w:pPr>
        <w:pStyle w:val="Doc"/>
      </w:pPr>
      <w:r>
        <w:t>In the existing specification, UE can skip CG PUSCH occasion according to its buffer status so that transmit power can be saved. However, at the gNB side, it is highly limited to re-use skipped CG PUSCH occasion, since there is no explicit indication from UE that wouldn’t use the CG PUSCH.</w:t>
      </w:r>
      <w:r w:rsidR="00E44791">
        <w:t xml:space="preserve"> In the last meeting, </w:t>
      </w:r>
      <w:r w:rsidR="00E44791">
        <w:lastRenderedPageBreak/>
        <w:t>it has been discuss</w:t>
      </w:r>
      <w:r w:rsidR="000835FF">
        <w:t>ed</w:t>
      </w:r>
      <w:r w:rsidR="00E44791">
        <w:t xml:space="preserve"> to whether to support dynamic indication of unused CG PUSCH occasion from UE, in short, CG usage indication.</w:t>
      </w:r>
    </w:p>
    <w:p w14:paraId="6866EC2B" w14:textId="52E18F60" w:rsidR="00E44791" w:rsidRDefault="00E44791" w:rsidP="009625FD">
      <w:pPr>
        <w:pStyle w:val="Doc"/>
      </w:pPr>
      <w:r>
        <w:t xml:space="preserve">Considering XR traffic characteristic, the </w:t>
      </w:r>
      <w:r w:rsidR="000835FF">
        <w:t>purpose</w:t>
      </w:r>
      <w:r>
        <w:t xml:space="preserve"> of CG usage indication </w:t>
      </w:r>
      <w:r w:rsidR="000835FF">
        <w:t>is</w:t>
      </w:r>
      <w:r>
        <w:t xml:space="preserve"> adaptive resource utilization for XR traffic. For example, based on encoding result of XR video traffic, UE can determine how many PUSCH are required for the encoded video frame</w:t>
      </w:r>
      <w:r w:rsidR="000835FF">
        <w:t>s</w:t>
      </w:r>
      <w:r>
        <w:t>. If gNB already schedule</w:t>
      </w:r>
      <w:r w:rsidR="000835FF">
        <w:t>s</w:t>
      </w:r>
      <w:r>
        <w:t xml:space="preserve"> a plenty of CG resources for the latency, UE may indicate how many CG occasions would be used via CG usage indication, and gNB may utilize remaining </w:t>
      </w:r>
      <w:r w:rsidR="000835FF">
        <w:t xml:space="preserve">unused </w:t>
      </w:r>
      <w:bookmarkStart w:id="4" w:name="_GoBack"/>
      <w:bookmarkEnd w:id="4"/>
      <w:r>
        <w:t>UL resources for other purposes.</w:t>
      </w:r>
      <w:r w:rsidR="006966BF">
        <w:t xml:space="preserve"> Given that, it is important how to indicate CG usage with the guarantee of the time to re-schedule. </w:t>
      </w:r>
    </w:p>
    <w:p w14:paraId="3687B859" w14:textId="0F008964" w:rsidR="006966BF" w:rsidRPr="0059786F" w:rsidRDefault="006966BF" w:rsidP="009625FD">
      <w:pPr>
        <w:pStyle w:val="rProposal"/>
      </w:pPr>
      <w:r>
        <w:rPr>
          <w:rFonts w:hint="eastAsia"/>
        </w:rPr>
        <w:t xml:space="preserve">Proposal 1: </w:t>
      </w:r>
      <w:r w:rsidR="009625FD">
        <w:t>I</w:t>
      </w:r>
      <w:r>
        <w:t xml:space="preserve">f CG usage indication is supported, </w:t>
      </w:r>
      <w:r>
        <w:rPr>
          <w:rFonts w:hint="eastAsia"/>
        </w:rPr>
        <w:t xml:space="preserve">it is necessary to study </w:t>
      </w:r>
      <w:r>
        <w:t>the timeline for CG usage indication.</w:t>
      </w:r>
    </w:p>
    <w:p w14:paraId="33727B67" w14:textId="77777777" w:rsidR="006966BF" w:rsidRDefault="006966BF" w:rsidP="009625FD">
      <w:pPr>
        <w:pStyle w:val="Doc"/>
      </w:pPr>
    </w:p>
    <w:p w14:paraId="12EABF9A" w14:textId="6C8DEAFB" w:rsidR="00083613" w:rsidRDefault="006966BF" w:rsidP="009625FD">
      <w:pPr>
        <w:pStyle w:val="Doc"/>
      </w:pPr>
      <w:r>
        <w:rPr>
          <w:rFonts w:hint="eastAsia"/>
        </w:rPr>
        <w:t xml:space="preserve">To support </w:t>
      </w:r>
      <w:r>
        <w:t xml:space="preserve">CG usage indication, the signaling design should be considered. The signaling design would determine the range, granularity and required number of transmission of the indication per a time unit. It would affect the performance of the CG usage indication directly. </w:t>
      </w:r>
    </w:p>
    <w:p w14:paraId="1B7C8BFB" w14:textId="344CEE94" w:rsidR="006966BF" w:rsidRDefault="006966BF" w:rsidP="009625FD">
      <w:pPr>
        <w:pStyle w:val="Doc"/>
      </w:pPr>
      <w:r>
        <w:t xml:space="preserve">It would be beneficial to assume that different CG configuration have separated CG usage indication since the necessity of the indication is up to the traffic </w:t>
      </w:r>
      <w:r w:rsidR="00402ECF">
        <w:t>characteristic</w:t>
      </w:r>
      <w:r>
        <w:t xml:space="preserve">. For an example, for deterministic traffic having static size, like pose data, CG usage indication wouldn’t be beneficial. </w:t>
      </w:r>
    </w:p>
    <w:p w14:paraId="5B3D127E" w14:textId="5357C334" w:rsidR="006966BF" w:rsidRPr="00833FBA" w:rsidRDefault="006966BF" w:rsidP="006966BF">
      <w:pPr>
        <w:pStyle w:val="rProposal"/>
      </w:pPr>
      <w:r>
        <w:rPr>
          <w:rFonts w:hint="eastAsia"/>
        </w:rPr>
        <w:t xml:space="preserve">Proposal </w:t>
      </w:r>
      <w:r>
        <w:t>2</w:t>
      </w:r>
      <w:r>
        <w:rPr>
          <w:rFonts w:hint="eastAsia"/>
        </w:rPr>
        <w:t xml:space="preserve">: </w:t>
      </w:r>
      <w:r w:rsidR="00B70CF6">
        <w:t>I</w:t>
      </w:r>
      <w:r>
        <w:t xml:space="preserve">f CG usage indication is supported, CG usage indication is configured per CG configuration. </w:t>
      </w:r>
    </w:p>
    <w:p w14:paraId="464807A1" w14:textId="77777777" w:rsidR="006966BF" w:rsidRDefault="006966BF" w:rsidP="009625FD">
      <w:pPr>
        <w:pStyle w:val="Doc"/>
        <w:rPr>
          <w:lang w:val="en-GB"/>
        </w:rPr>
      </w:pPr>
    </w:p>
    <w:p w14:paraId="403C62A2" w14:textId="77777777" w:rsidR="00B70CF6" w:rsidRDefault="006966BF" w:rsidP="009625FD">
      <w:pPr>
        <w:pStyle w:val="Doc"/>
        <w:rPr>
          <w:lang w:val="en-GB"/>
        </w:rPr>
      </w:pPr>
      <w:r>
        <w:rPr>
          <w:lang w:val="en-GB"/>
        </w:rPr>
        <w:t xml:space="preserve">In terms of granularity of CG usage indication, we may consider CG-specific unit, such as per CG occasion or per period. Otherwise, </w:t>
      </w:r>
      <w:r w:rsidR="00B70CF6">
        <w:rPr>
          <w:lang w:val="en-GB"/>
        </w:rPr>
        <w:t>HARQ process ID also can be considered. By indicating unused HARQ process ID to gNB, UE can indicate a number of CG occasion corresponding to the same HARQ process without complicated signalling design.</w:t>
      </w:r>
    </w:p>
    <w:p w14:paraId="199D4734" w14:textId="7376EA7D" w:rsidR="00B70CF6" w:rsidRDefault="00B70CF6" w:rsidP="009625FD">
      <w:pPr>
        <w:pStyle w:val="rProposal"/>
      </w:pPr>
      <w:r>
        <w:rPr>
          <w:rFonts w:hint="eastAsia"/>
        </w:rPr>
        <w:t xml:space="preserve">Proposal </w:t>
      </w:r>
      <w:r>
        <w:t>3</w:t>
      </w:r>
      <w:r>
        <w:rPr>
          <w:rFonts w:hint="eastAsia"/>
        </w:rPr>
        <w:t xml:space="preserve">: </w:t>
      </w:r>
      <w:r>
        <w:t>If CG usage indication is supported, following options can be considered to indicate unused CG PUSCH occasion(s) or resource(s):</w:t>
      </w:r>
    </w:p>
    <w:p w14:paraId="7B2C744F" w14:textId="43A49E27" w:rsidR="00B70CF6" w:rsidRDefault="00B70CF6" w:rsidP="009625FD">
      <w:pPr>
        <w:pStyle w:val="rProposal"/>
        <w:numPr>
          <w:ilvl w:val="0"/>
          <w:numId w:val="38"/>
        </w:numPr>
        <w:ind w:firstLineChars="0"/>
      </w:pPr>
      <w:r>
        <w:rPr>
          <w:rFonts w:hint="eastAsia"/>
        </w:rPr>
        <w:t>Option 1</w:t>
      </w:r>
      <w:r>
        <w:t xml:space="preserve">: Indicating CG occasion that wouldn’t be used at UE side. </w:t>
      </w:r>
    </w:p>
    <w:p w14:paraId="3052635C" w14:textId="77777777" w:rsidR="00B70CF6" w:rsidRDefault="00B70CF6" w:rsidP="00B70CF6">
      <w:pPr>
        <w:pStyle w:val="rProposal"/>
        <w:numPr>
          <w:ilvl w:val="0"/>
          <w:numId w:val="38"/>
        </w:numPr>
        <w:ind w:firstLineChars="0"/>
      </w:pPr>
      <w:r>
        <w:rPr>
          <w:rFonts w:hint="eastAsia"/>
        </w:rPr>
        <w:t>Option 2</w:t>
      </w:r>
      <w:r>
        <w:t xml:space="preserve">: Indicating CG period that wouldn’t be used at UE side. </w:t>
      </w:r>
    </w:p>
    <w:p w14:paraId="63BA8B33" w14:textId="6BE6A9BE" w:rsidR="00B70CF6" w:rsidRDefault="00B70CF6" w:rsidP="00B70CF6">
      <w:pPr>
        <w:pStyle w:val="rProposal"/>
        <w:numPr>
          <w:ilvl w:val="0"/>
          <w:numId w:val="38"/>
        </w:numPr>
        <w:ind w:firstLineChars="0"/>
      </w:pPr>
      <w:r>
        <w:rPr>
          <w:rFonts w:hint="eastAsia"/>
        </w:rPr>
        <w:t>Option</w:t>
      </w:r>
      <w:r>
        <w:t xml:space="preserve"> </w:t>
      </w:r>
      <w:r>
        <w:rPr>
          <w:rFonts w:hint="eastAsia"/>
        </w:rPr>
        <w:t>3</w:t>
      </w:r>
      <w:r>
        <w:t xml:space="preserve">: Indicating HARQ processes for the CG that wouldn’t be used at UE side. </w:t>
      </w:r>
    </w:p>
    <w:p w14:paraId="271B7C83" w14:textId="77777777" w:rsidR="00B70CF6" w:rsidRPr="009625FD" w:rsidRDefault="00B70CF6" w:rsidP="009625FD">
      <w:pPr>
        <w:rPr>
          <w:rFonts w:eastAsiaTheme="minorEastAsia"/>
        </w:rPr>
      </w:pPr>
    </w:p>
    <w:p w14:paraId="3DD8E501" w14:textId="7091A520" w:rsidR="00B70CF6" w:rsidRDefault="00B70CF6" w:rsidP="009625FD">
      <w:pPr>
        <w:pStyle w:val="Doc"/>
      </w:pPr>
      <w:r>
        <w:rPr>
          <w:rFonts w:hint="eastAsia"/>
        </w:rPr>
        <w:t xml:space="preserve">In </w:t>
      </w:r>
      <w:r>
        <w:t>addition</w:t>
      </w:r>
      <w:r>
        <w:rPr>
          <w:rFonts w:hint="eastAsia"/>
        </w:rPr>
        <w:t>,</w:t>
      </w:r>
      <w:r>
        <w:t xml:space="preserve"> it is also necessary to discuss which channel convey such information. Considering it is a new UCI and related to CG, the CG usage indication can be treated as normal UCI conveyed in PUCCH or CG-UCI conveyed in PUSCH. We think it would be starting point for the further discussion.</w:t>
      </w:r>
    </w:p>
    <w:p w14:paraId="3FA2C9DA" w14:textId="3761D70D" w:rsidR="00B70CF6" w:rsidRDefault="00B70CF6" w:rsidP="00B70CF6">
      <w:pPr>
        <w:pStyle w:val="rProposal"/>
      </w:pPr>
      <w:r>
        <w:rPr>
          <w:rFonts w:hint="eastAsia"/>
        </w:rPr>
        <w:lastRenderedPageBreak/>
        <w:t xml:space="preserve">Proposal </w:t>
      </w:r>
      <w:r>
        <w:t>4</w:t>
      </w:r>
      <w:r>
        <w:rPr>
          <w:rFonts w:hint="eastAsia"/>
        </w:rPr>
        <w:t xml:space="preserve">: </w:t>
      </w:r>
      <w:r>
        <w:t>If CG usage indication is supported, following options can be considered to indicate unused CG PUSCH occasion(s) or resource(s):</w:t>
      </w:r>
    </w:p>
    <w:p w14:paraId="2B95E12E" w14:textId="1E32E0A5" w:rsidR="00B70CF6" w:rsidRDefault="00B70CF6" w:rsidP="00B70CF6">
      <w:pPr>
        <w:pStyle w:val="rProposal"/>
        <w:numPr>
          <w:ilvl w:val="0"/>
          <w:numId w:val="38"/>
        </w:numPr>
        <w:ind w:firstLineChars="0"/>
      </w:pPr>
      <w:r>
        <w:rPr>
          <w:rFonts w:hint="eastAsia"/>
        </w:rPr>
        <w:t>Option 1</w:t>
      </w:r>
      <w:r w:rsidR="00402ECF">
        <w:t>: Multiplexed in PUSCH, as a part o</w:t>
      </w:r>
      <w:r>
        <w:t>f</w:t>
      </w:r>
      <w:r w:rsidR="00402ECF">
        <w:t xml:space="preserve"> a</w:t>
      </w:r>
      <w:r>
        <w:t xml:space="preserve"> CG-UCI. </w:t>
      </w:r>
    </w:p>
    <w:p w14:paraId="1E34B840" w14:textId="4F376CC4" w:rsidR="00B70CF6" w:rsidRDefault="00B70CF6">
      <w:pPr>
        <w:pStyle w:val="rProposal"/>
        <w:numPr>
          <w:ilvl w:val="0"/>
          <w:numId w:val="38"/>
        </w:numPr>
        <w:ind w:firstLineChars="0"/>
      </w:pPr>
      <w:r>
        <w:rPr>
          <w:rFonts w:hint="eastAsia"/>
        </w:rPr>
        <w:t>Option 2</w:t>
      </w:r>
      <w:r>
        <w:t>: Mult</w:t>
      </w:r>
      <w:r w:rsidR="00402ECF">
        <w:t>iplexed in PUSCH or PUCCH, as a</w:t>
      </w:r>
      <w:r>
        <w:t xml:space="preserve"> new type of UCI.</w:t>
      </w:r>
    </w:p>
    <w:p w14:paraId="6797254E" w14:textId="4EE10C3A" w:rsidR="00B70CF6" w:rsidRDefault="00B70CF6">
      <w:pPr>
        <w:pStyle w:val="rProposal"/>
        <w:numPr>
          <w:ilvl w:val="0"/>
          <w:numId w:val="38"/>
        </w:numPr>
        <w:ind w:firstLineChars="0"/>
      </w:pPr>
      <w:r>
        <w:t>FFS: How to multiplex CG usage indication with other UCI</w:t>
      </w:r>
    </w:p>
    <w:p w14:paraId="52C5313D" w14:textId="77777777" w:rsidR="00083613" w:rsidRDefault="00083613" w:rsidP="009625FD">
      <w:pPr>
        <w:rPr>
          <w:rFonts w:eastAsiaTheme="minorEastAsia"/>
        </w:rPr>
      </w:pPr>
    </w:p>
    <w:p w14:paraId="58903BB8" w14:textId="684AB88D" w:rsidR="00083613" w:rsidRPr="00083613" w:rsidRDefault="00A737F9" w:rsidP="009625FD">
      <w:pPr>
        <w:pStyle w:val="2"/>
        <w:numPr>
          <w:ilvl w:val="2"/>
          <w:numId w:val="23"/>
        </w:numPr>
        <w:rPr>
          <w:rFonts w:eastAsiaTheme="minorEastAsia"/>
        </w:rPr>
      </w:pPr>
      <w:r w:rsidRPr="00A737F9">
        <w:rPr>
          <w:rFonts w:eastAsiaTheme="minorEastAsia"/>
        </w:rPr>
        <w:t xml:space="preserve">Increase CG PUSCH transmission occasions in a duration </w:t>
      </w:r>
    </w:p>
    <w:p w14:paraId="0C665DCE" w14:textId="3784032B" w:rsidR="00A737F9" w:rsidRDefault="00A737F9" w:rsidP="00A737F9">
      <w:pPr>
        <w:pStyle w:val="Doc"/>
      </w:pPr>
      <w:r>
        <w:rPr>
          <w:rFonts w:hint="eastAsia"/>
        </w:rPr>
        <w:t xml:space="preserve">In case of jitter, the impact of jitter can be mitigated by sufficient transmission </w:t>
      </w:r>
      <w:r>
        <w:t>occasion (TO)</w:t>
      </w:r>
      <w:r>
        <w:rPr>
          <w:rFonts w:hint="eastAsia"/>
        </w:rPr>
        <w:t>.</w:t>
      </w:r>
      <w:r>
        <w:t xml:space="preserve"> For example, UE can be configured with multiple CG configuration having the same periodicity and with different starting offset. Then, multiple TO can be configured around expected traffic arrival time, so that UE can choose nearest TO while </w:t>
      </w:r>
      <w:r w:rsidRPr="00D57195">
        <w:t xml:space="preserve">maintaining a certain level of </w:t>
      </w:r>
      <w:r>
        <w:t xml:space="preserve">waiting time even with some drift. </w:t>
      </w:r>
    </w:p>
    <w:p w14:paraId="4E295338" w14:textId="520DD087" w:rsidR="00A737F9" w:rsidRPr="00EF5695" w:rsidRDefault="00A737F9" w:rsidP="00A737F9">
      <w:pPr>
        <w:pStyle w:val="rProposal"/>
      </w:pPr>
      <w:r>
        <w:t xml:space="preserve">Proposal </w:t>
      </w:r>
      <w:r w:rsidR="0059786F">
        <w:t>5:</w:t>
      </w:r>
      <w:r>
        <w:t xml:space="preserve"> At least for jitter handling with CG configuration, it is </w:t>
      </w:r>
      <w:r w:rsidR="00694AE2">
        <w:t>necessary to allocate multiple CG occasion</w:t>
      </w:r>
      <w:r>
        <w:t xml:space="preserve">s in a periodicity with single CG configurations. </w:t>
      </w:r>
    </w:p>
    <w:p w14:paraId="226A6BB4" w14:textId="71A26BC0" w:rsidR="00A737F9" w:rsidRDefault="00A737F9" w:rsidP="00A737F9">
      <w:pPr>
        <w:pStyle w:val="Doc"/>
        <w:rPr>
          <w:lang w:val="en-GB"/>
        </w:rPr>
      </w:pPr>
      <w:r>
        <w:rPr>
          <w:rFonts w:hint="eastAsia"/>
          <w:lang w:val="en-GB"/>
        </w:rPr>
        <w:t>In order to allocate multiple TOs</w:t>
      </w:r>
      <w:r w:rsidR="0059786F">
        <w:rPr>
          <w:lang w:val="en-GB"/>
        </w:rPr>
        <w:t xml:space="preserve"> </w:t>
      </w:r>
      <w:r w:rsidR="0059786F">
        <w:t>with single CG configurations</w:t>
      </w:r>
      <w:r w:rsidR="0059786F">
        <w:rPr>
          <w:lang w:val="en-GB"/>
        </w:rPr>
        <w:t xml:space="preserve"> </w:t>
      </w:r>
      <w:r>
        <w:rPr>
          <w:lang w:val="en-GB"/>
        </w:rPr>
        <w:t>in a periodicity, the single DCI scheduling multiple PDSCH/PUSCH can be re-used if it is supported. For example, gNB can transmit the DCI scheduling multi-PUSCH as an activation DCI for CG configuration. Then, scheduled multiple PUSCH can be obtained as CG PUSCH in the first period and UE can repeat those PUSCH in every period. This would minimize specification impact and save the time to discuss.</w:t>
      </w:r>
    </w:p>
    <w:p w14:paraId="23B31E2A" w14:textId="6A644443" w:rsidR="0059786F" w:rsidRDefault="0059786F" w:rsidP="00A737F9">
      <w:pPr>
        <w:pStyle w:val="Doc"/>
        <w:rPr>
          <w:lang w:val="en-GB"/>
        </w:rPr>
      </w:pPr>
      <w:r>
        <w:rPr>
          <w:lang w:val="en-GB"/>
        </w:rPr>
        <w:t xml:space="preserve">Otherwise, if consecutive transmissions are only required, the design like current PUSCH repetition type-A/B can be considered for simplicity. In this approach, a number of CG occasions for different TB are allocated, as in those are allocated for repetition for a TB. </w:t>
      </w:r>
    </w:p>
    <w:p w14:paraId="3DFED2A1" w14:textId="124EC165" w:rsidR="00620ACE" w:rsidRDefault="00620ACE" w:rsidP="00A737F9">
      <w:pPr>
        <w:pStyle w:val="Doc"/>
        <w:rPr>
          <w:lang w:val="en-GB"/>
        </w:rPr>
      </w:pPr>
      <w:r>
        <w:rPr>
          <w:lang w:val="en-GB"/>
        </w:rPr>
        <w:t xml:space="preserve">Alternatively, it is also </w:t>
      </w:r>
      <w:r w:rsidR="00022580">
        <w:rPr>
          <w:lang w:val="en-GB"/>
        </w:rPr>
        <w:t>pos</w:t>
      </w:r>
      <w:r w:rsidR="00694AE2">
        <w:rPr>
          <w:lang w:val="en-GB"/>
        </w:rPr>
        <w:t xml:space="preserve">sible to re-use existing configured grant design for NR-U, which determines CG occasion by two parameters: </w:t>
      </w:r>
      <w:r w:rsidR="00694AE2" w:rsidRPr="009625FD">
        <w:rPr>
          <w:i/>
          <w:lang w:val="en-GB"/>
        </w:rPr>
        <w:t>cg-nrofPUSCH-InSlot-r16</w:t>
      </w:r>
      <w:r w:rsidR="00694AE2">
        <w:rPr>
          <w:lang w:val="en-GB"/>
        </w:rPr>
        <w:t xml:space="preserve"> and </w:t>
      </w:r>
      <w:r w:rsidR="00694AE2" w:rsidRPr="009625FD">
        <w:rPr>
          <w:i/>
          <w:lang w:val="en-GB"/>
        </w:rPr>
        <w:t>cg-nrofSlots-r16</w:t>
      </w:r>
      <w:r w:rsidR="00694AE2">
        <w:rPr>
          <w:lang w:val="en-GB"/>
        </w:rPr>
        <w:t xml:space="preserve">. With this two parameters, multiple PUSCH occasion can be configured in a slot, and such slots can be configured at the beginning of each period. To re-use this design, it would be necessary to define how to determine HARQ process for each CG occasion without CG-UCI, since CG-UCI would make another capacity issue due to its reliability bottleneck considering XR traffic requirement. </w:t>
      </w:r>
    </w:p>
    <w:p w14:paraId="04D054AC" w14:textId="31D7BE24" w:rsidR="00694AE2" w:rsidRDefault="00A737F9" w:rsidP="00A737F9">
      <w:pPr>
        <w:pStyle w:val="rProposal"/>
      </w:pPr>
      <w:r>
        <w:t xml:space="preserve">Proposal </w:t>
      </w:r>
      <w:r w:rsidR="0059786F">
        <w:t>6</w:t>
      </w:r>
      <w:r>
        <w:t xml:space="preserve">: </w:t>
      </w:r>
      <w:r w:rsidR="00694AE2" w:rsidRPr="00694AE2">
        <w:t xml:space="preserve">If </w:t>
      </w:r>
      <w:r w:rsidR="00694AE2">
        <w:t>multiple CG occasion in a periodicity</w:t>
      </w:r>
      <w:r w:rsidR="0059786F">
        <w:t xml:space="preserve"> within a single configuration</w:t>
      </w:r>
      <w:r w:rsidR="00694AE2" w:rsidRPr="00694AE2">
        <w:t xml:space="preserve"> is supported, foll</w:t>
      </w:r>
      <w:r w:rsidR="00694AE2">
        <w:t>owing options can be considered:</w:t>
      </w:r>
    </w:p>
    <w:p w14:paraId="67B2A27E" w14:textId="22ED4DB8" w:rsidR="00A737F9" w:rsidRDefault="00694AE2" w:rsidP="009625FD">
      <w:pPr>
        <w:pStyle w:val="rProposal"/>
        <w:numPr>
          <w:ilvl w:val="0"/>
          <w:numId w:val="39"/>
        </w:numPr>
        <w:ind w:firstLineChars="0"/>
      </w:pPr>
      <w:r>
        <w:t xml:space="preserve">Option 1: </w:t>
      </w:r>
      <w:r w:rsidR="00A737F9">
        <w:t xml:space="preserve">The </w:t>
      </w:r>
      <w:r>
        <w:t xml:space="preserve">design of </w:t>
      </w:r>
      <w:r w:rsidR="00A737F9">
        <w:t>single DCI scheduling multiple PDS</w:t>
      </w:r>
      <w:r w:rsidR="0059786F">
        <w:t>CH/PUSCH can be re-used for  activation DCI.</w:t>
      </w:r>
    </w:p>
    <w:p w14:paraId="54B73549" w14:textId="105274F7" w:rsidR="00694AE2" w:rsidRDefault="00694AE2" w:rsidP="00694AE2">
      <w:pPr>
        <w:pStyle w:val="rProposal"/>
        <w:numPr>
          <w:ilvl w:val="0"/>
          <w:numId w:val="39"/>
        </w:numPr>
        <w:ind w:firstLineChars="0"/>
      </w:pPr>
      <w:r>
        <w:t xml:space="preserve">Option 2: The design of </w:t>
      </w:r>
      <w:r w:rsidR="0059786F">
        <w:t>PUSCH repetition in Rel-17 can be re-used.</w:t>
      </w:r>
    </w:p>
    <w:p w14:paraId="49C5BDCE" w14:textId="1B10E205" w:rsidR="0059786F" w:rsidRDefault="0059786F" w:rsidP="0059786F">
      <w:pPr>
        <w:pStyle w:val="rProposal"/>
        <w:numPr>
          <w:ilvl w:val="0"/>
          <w:numId w:val="39"/>
        </w:numPr>
        <w:ind w:firstLineChars="0"/>
      </w:pPr>
      <w:r>
        <w:lastRenderedPageBreak/>
        <w:t>Option 3: The design of NR-U configured grant can be re-used.</w:t>
      </w:r>
    </w:p>
    <w:p w14:paraId="241B6385" w14:textId="77777777" w:rsidR="0059786F" w:rsidRDefault="0059786F" w:rsidP="009625FD">
      <w:pPr>
        <w:rPr>
          <w:rFonts w:eastAsiaTheme="minorEastAsia"/>
          <w:lang w:eastAsia="ko-KR"/>
        </w:rPr>
      </w:pPr>
    </w:p>
    <w:p w14:paraId="4883EBCD" w14:textId="7ABC5237" w:rsidR="00A737F9" w:rsidRDefault="0059786F" w:rsidP="0059786F">
      <w:pPr>
        <w:pStyle w:val="Doc"/>
      </w:pPr>
      <w:r>
        <w:rPr>
          <w:rFonts w:hint="eastAsia"/>
        </w:rPr>
        <w:t xml:space="preserve">For another </w:t>
      </w:r>
      <w:r>
        <w:t>approach</w:t>
      </w:r>
      <w:r>
        <w:rPr>
          <w:rFonts w:hint="eastAsia"/>
        </w:rPr>
        <w:t xml:space="preserve">, </w:t>
      </w:r>
      <w:r>
        <w:t>it is possible to utilize multiple CG configuration to emulate multiple CG occasion in a duration. It would have less issues and minimized specification impact. However, i</w:t>
      </w:r>
      <w:r w:rsidR="00A737F9">
        <w:t xml:space="preserve">n current specification, UE can be indicated with at most one activation DCI per PDCCH monitoring occasion. Thus, it means that it would take a time of a number of PDCCH monitoring occasion. </w:t>
      </w:r>
      <w:r>
        <w:t xml:space="preserve">To utilize a number of configuration for a service, it is necessary to activate multiple CG at once with a single UL grant. </w:t>
      </w:r>
    </w:p>
    <w:p w14:paraId="07F9EC38" w14:textId="69F832BC" w:rsidR="00A737F9" w:rsidRDefault="00A737F9" w:rsidP="00A737F9">
      <w:pPr>
        <w:pStyle w:val="rProposal"/>
      </w:pPr>
      <w:r>
        <w:rPr>
          <w:rFonts w:hint="eastAsia"/>
        </w:rPr>
        <w:t xml:space="preserve">Proposal </w:t>
      </w:r>
      <w:r w:rsidR="0059786F">
        <w:t>7</w:t>
      </w:r>
      <w:r>
        <w:rPr>
          <w:rFonts w:hint="eastAsia"/>
        </w:rPr>
        <w:t xml:space="preserve">: </w:t>
      </w:r>
      <w:r>
        <w:t>I</w:t>
      </w:r>
      <w:r>
        <w:rPr>
          <w:rFonts w:hint="eastAsia"/>
        </w:rPr>
        <w:t xml:space="preserve">t can be considered to activate/release </w:t>
      </w:r>
      <w:r>
        <w:t xml:space="preserve">multiple </w:t>
      </w:r>
      <w:r>
        <w:rPr>
          <w:rFonts w:hint="eastAsia"/>
        </w:rPr>
        <w:t xml:space="preserve">CG </w:t>
      </w:r>
      <w:r w:rsidR="0059786F">
        <w:t xml:space="preserve">with a single UL grant. </w:t>
      </w:r>
    </w:p>
    <w:p w14:paraId="3246CA87" w14:textId="77777777" w:rsidR="0059786F" w:rsidRPr="00083613" w:rsidRDefault="0059786F" w:rsidP="0059786F">
      <w:pPr>
        <w:pStyle w:val="2"/>
        <w:numPr>
          <w:ilvl w:val="2"/>
          <w:numId w:val="17"/>
        </w:numPr>
        <w:rPr>
          <w:rFonts w:eastAsiaTheme="minorEastAsia"/>
        </w:rPr>
      </w:pPr>
      <w:r>
        <w:rPr>
          <w:rFonts w:eastAsiaTheme="minorEastAsia"/>
        </w:rPr>
        <w:t>Support of non-integer periodicity for SPS/CG configuration</w:t>
      </w:r>
    </w:p>
    <w:p w14:paraId="5D96FBB9" w14:textId="414A89BD" w:rsidR="00021872" w:rsidRDefault="004A7A90" w:rsidP="00F72FF9">
      <w:pPr>
        <w:pStyle w:val="Doc"/>
        <w:rPr>
          <w:lang w:val="en-GB"/>
        </w:rPr>
      </w:pPr>
      <w:r>
        <w:rPr>
          <w:rFonts w:hint="eastAsia"/>
          <w:lang w:val="en-GB"/>
        </w:rPr>
        <w:t xml:space="preserve">Considering XR traffic </w:t>
      </w:r>
      <w:r>
        <w:rPr>
          <w:lang w:val="en-GB"/>
        </w:rPr>
        <w:t>characteristic</w:t>
      </w:r>
      <w:r>
        <w:rPr>
          <w:rFonts w:hint="eastAsia"/>
          <w:lang w:val="en-GB"/>
        </w:rPr>
        <w:t>,</w:t>
      </w:r>
      <w:r>
        <w:rPr>
          <w:lang w:val="en-GB"/>
        </w:rPr>
        <w:t xml:space="preserve"> it would be necessary to support non-integer periodicity for CG. It has been proven that non-integer periodicity mitigates misalignment of transmission occasions especially for video frames. </w:t>
      </w:r>
    </w:p>
    <w:p w14:paraId="7EBD3BEE" w14:textId="15AA8403" w:rsidR="004A7A90" w:rsidRDefault="004A7A90" w:rsidP="00F72FF9">
      <w:pPr>
        <w:pStyle w:val="Doc"/>
        <w:rPr>
          <w:lang w:val="en-GB"/>
        </w:rPr>
      </w:pPr>
      <w:r>
        <w:rPr>
          <w:lang w:val="en-GB"/>
        </w:rPr>
        <w:t xml:space="preserve">To minimize specification impact, we </w:t>
      </w:r>
      <w:r>
        <w:rPr>
          <w:rFonts w:hint="eastAsia"/>
          <w:lang w:val="en-GB"/>
        </w:rPr>
        <w:t>wou</w:t>
      </w:r>
      <w:r>
        <w:rPr>
          <w:lang w:val="en-GB"/>
        </w:rPr>
        <w:t>ld like to propose to have minor change on the equation which determines CG occasion. We only changed yellow part in the following equations, to have aligned slot boundary even with non-integer periodicity, for Type-1/2 CG.</w:t>
      </w:r>
      <w:r w:rsidR="00F764FA">
        <w:rPr>
          <w:lang w:val="en-GB"/>
        </w:rPr>
        <w:t xml:space="preserve"> In the equations, P is non-interger or interger periodicity of CG PUSCH in unit of symbols. </w:t>
      </w:r>
    </w:p>
    <w:p w14:paraId="1A737859" w14:textId="77777777" w:rsidR="004A7A90" w:rsidRPr="004A7A90" w:rsidRDefault="004A7A90" w:rsidP="004A7A90">
      <w:pPr>
        <w:pStyle w:val="Doc"/>
        <w:rPr>
          <w:b/>
          <w:lang w:val="en-GB"/>
        </w:rPr>
      </w:pPr>
      <w:r w:rsidRPr="004A7A90">
        <w:rPr>
          <w:b/>
          <w:lang w:val="en-GB"/>
        </w:rPr>
        <w:t>For Type 1 CG:</w:t>
      </w:r>
    </w:p>
    <w:p w14:paraId="5ADCA5DA"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5DD38CE3" w14:textId="3F4F6760" w:rsidR="004A7A90" w:rsidRPr="004A7A90" w:rsidRDefault="004A7A90" w:rsidP="004A7A90">
      <w:pPr>
        <w:pStyle w:val="Doc"/>
        <w:ind w:firstLine="347"/>
        <w:jc w:val="center"/>
        <w:rPr>
          <w:sz w:val="18"/>
          <w:lang w:val="en-GB"/>
        </w:rPr>
      </w:pPr>
      <w:r w:rsidRPr="004A7A90">
        <w:rPr>
          <w:sz w:val="18"/>
          <w:lang w:val="en-GB"/>
        </w:rPr>
        <w:t xml:space="preserve">(timeReferenceSFN × numberOfSlotsPerFrame × numberOfSymbolsPerSlot + timeDomainOffset × numberOfSymbolsPerSlot + </w:t>
      </w:r>
      <w:r w:rsidRPr="004A7A90">
        <w:rPr>
          <w:sz w:val="18"/>
          <w:highlight w:val="yellow"/>
          <w:lang w:val="en-GB"/>
        </w:rPr>
        <w:t>ceil(N × P/ numberOfSymbolsPerSlot)* numberOfSymbolsPerSlot</w:t>
      </w:r>
      <w:r w:rsidRPr="004A7A90">
        <w:rPr>
          <w:sz w:val="18"/>
          <w:lang w:val="en-GB"/>
        </w:rPr>
        <w:t xml:space="preserve"> + S) modulo (1024 × numberOfSlotsPerFrame × numberOfSymbolsPerSlot).</w:t>
      </w:r>
    </w:p>
    <w:p w14:paraId="17D0C180" w14:textId="77777777" w:rsidR="004A7A90" w:rsidRPr="004A7A90" w:rsidRDefault="004A7A90" w:rsidP="004A7A90">
      <w:pPr>
        <w:pStyle w:val="Doc"/>
        <w:rPr>
          <w:lang w:val="en-GB"/>
        </w:rPr>
      </w:pPr>
    </w:p>
    <w:p w14:paraId="3E9C0798" w14:textId="77777777" w:rsidR="004A7A90" w:rsidRPr="004A7A90" w:rsidRDefault="004A7A90" w:rsidP="004A7A90">
      <w:pPr>
        <w:pStyle w:val="Doc"/>
        <w:rPr>
          <w:b/>
          <w:lang w:val="en-GB"/>
        </w:rPr>
      </w:pPr>
      <w:r w:rsidRPr="004A7A90">
        <w:rPr>
          <w:b/>
          <w:lang w:val="en-GB"/>
        </w:rPr>
        <w:t>For type 2 CG</w:t>
      </w:r>
    </w:p>
    <w:p w14:paraId="02DC1FA0"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78CF526E" w14:textId="2A5B200B" w:rsidR="004A7A90" w:rsidRDefault="004A7A90" w:rsidP="004A7A90">
      <w:pPr>
        <w:pStyle w:val="Doc"/>
        <w:ind w:firstLine="347"/>
        <w:jc w:val="center"/>
        <w:rPr>
          <w:sz w:val="18"/>
          <w:lang w:val="en-GB"/>
        </w:rPr>
      </w:pPr>
      <w:r w:rsidRPr="004A7A90">
        <w:rPr>
          <w:sz w:val="18"/>
          <w:lang w:val="en-GB"/>
        </w:rPr>
        <w:t xml:space="preserve">[(SFNstart time × numberOfSlotsPerFrame × numberOfSymbolsPerSlot + slotstart time × numberOfSymbolsPerSlot + symbolstart time) + </w:t>
      </w:r>
      <w:r w:rsidRPr="004A7A90">
        <w:rPr>
          <w:sz w:val="18"/>
          <w:highlight w:val="yellow"/>
          <w:lang w:val="en-GB"/>
        </w:rPr>
        <w:t>ceil(N × P/ numberOfSymbolsPerSlot)* numberOfSymbolsPerSlot</w:t>
      </w:r>
      <w:r w:rsidRPr="004A7A90">
        <w:rPr>
          <w:sz w:val="18"/>
          <w:lang w:val="en-GB"/>
        </w:rPr>
        <w:t>] modulo (1024 × numberOfSlotsPerFrame × numberOfSymbolsPerSlot).</w:t>
      </w:r>
    </w:p>
    <w:p w14:paraId="5569FEFD" w14:textId="77777777" w:rsidR="008F7ACD" w:rsidRPr="005812ED" w:rsidRDefault="008F7ACD" w:rsidP="005812ED">
      <w:pPr>
        <w:pStyle w:val="Doc"/>
        <w:rPr>
          <w:lang w:val="en-GB"/>
        </w:rPr>
      </w:pPr>
    </w:p>
    <w:p w14:paraId="5E681C08" w14:textId="3D07B224" w:rsidR="008F7ACD" w:rsidRPr="005812ED" w:rsidRDefault="008F7ACD" w:rsidP="005812ED">
      <w:pPr>
        <w:pStyle w:val="Doc"/>
        <w:rPr>
          <w:lang w:val="en-GB"/>
        </w:rPr>
      </w:pPr>
      <w:r w:rsidRPr="005812ED">
        <w:rPr>
          <w:lang w:val="en-GB"/>
        </w:rPr>
        <w:t xml:space="preserve">In same manner, </w:t>
      </w:r>
      <w:r>
        <w:rPr>
          <w:lang w:val="en-GB"/>
        </w:rPr>
        <w:t xml:space="preserve">non-integer periodicity can be </w:t>
      </w:r>
      <w:r w:rsidR="005771A0">
        <w:rPr>
          <w:lang w:val="en-GB"/>
        </w:rPr>
        <w:t xml:space="preserve">easily </w:t>
      </w:r>
      <w:r>
        <w:rPr>
          <w:lang w:val="en-GB"/>
        </w:rPr>
        <w:t xml:space="preserve">supported for SPS as well. </w:t>
      </w:r>
      <w:r w:rsidR="00F764FA">
        <w:rPr>
          <w:lang w:val="en-GB"/>
        </w:rPr>
        <w:t>Periodicity is non-interger or interger periodicity of SPS PDSCH in unit of milliseconds.</w:t>
      </w:r>
    </w:p>
    <w:p w14:paraId="08620F49" w14:textId="77777777" w:rsidR="004A7A90" w:rsidRPr="004A7A90" w:rsidRDefault="004A7A90" w:rsidP="004A7A90">
      <w:pPr>
        <w:pStyle w:val="Doc"/>
        <w:rPr>
          <w:b/>
          <w:lang w:val="en-GB"/>
        </w:rPr>
      </w:pPr>
      <w:r w:rsidRPr="004A7A90">
        <w:rPr>
          <w:b/>
          <w:lang w:val="en-GB"/>
        </w:rPr>
        <w:lastRenderedPageBreak/>
        <w:t>For SPS</w:t>
      </w:r>
    </w:p>
    <w:p w14:paraId="437255DC" w14:textId="34F11E57" w:rsidR="00F72FF9" w:rsidRPr="004A7A90" w:rsidRDefault="004A7A90" w:rsidP="004A7A90">
      <w:pPr>
        <w:pStyle w:val="Doc"/>
        <w:ind w:firstLine="347"/>
        <w:jc w:val="center"/>
        <w:rPr>
          <w:sz w:val="18"/>
          <w:lang w:val="en-GB"/>
        </w:rPr>
      </w:pPr>
      <w:r w:rsidRPr="004A7A90">
        <w:rPr>
          <w:sz w:val="18"/>
          <w:lang w:val="en-GB"/>
        </w:rPr>
        <w:t xml:space="preserve">(numberOfSlotsPerFrame × SFN + slot number in the frame) = [(numberOfSlotsPerFrame × SFNstart time + slotstart time) + </w:t>
      </w:r>
      <w:r w:rsidRPr="004A7A90">
        <w:rPr>
          <w:sz w:val="18"/>
          <w:highlight w:val="yellow"/>
          <w:lang w:val="en-GB"/>
        </w:rPr>
        <w:t>ceil(N × periodicity)</w:t>
      </w:r>
      <w:r w:rsidRPr="004A7A90">
        <w:rPr>
          <w:sz w:val="18"/>
          <w:lang w:val="en-GB"/>
        </w:rPr>
        <w:t xml:space="preserve"> × numberOfSlotsPerFrame / 10] modulo (1024 × numberOfSlotsPerFrame)</w:t>
      </w:r>
    </w:p>
    <w:p w14:paraId="49C28DCE" w14:textId="77777777" w:rsidR="004A7A90" w:rsidRDefault="004A7A90" w:rsidP="00F72FF9">
      <w:pPr>
        <w:pStyle w:val="Doc"/>
      </w:pPr>
    </w:p>
    <w:p w14:paraId="66BEE1B9" w14:textId="716026AF" w:rsidR="004A7A90" w:rsidRDefault="009347E5" w:rsidP="00F72FF9">
      <w:pPr>
        <w:pStyle w:val="Doc"/>
      </w:pPr>
      <w:r>
        <w:t>In the case of 15kHz subcarrier spacing, w</w:t>
      </w:r>
      <w:r w:rsidR="004A7A90">
        <w:t xml:space="preserve">ith current specification without those changes, SPS with 16ms periodicity can serve the traffic having 16.67ms </w:t>
      </w:r>
      <w:r w:rsidR="00DF3855">
        <w:t xml:space="preserve">with 7.7ms (=108 symbols) of average </w:t>
      </w:r>
      <w:r w:rsidR="00B71367">
        <w:t>waiting time from traffic arrival to transmission occasion</w:t>
      </w:r>
      <w:r w:rsidR="00DF3855">
        <w:t xml:space="preserve">. </w:t>
      </w:r>
      <w:r w:rsidR="00F15EFA">
        <w:t>On the other hand</w:t>
      </w:r>
      <w:r w:rsidR="00DF3855">
        <w:t>, with modified equation, SPS with 16.67ms periodicity can serve the traffic having same</w:t>
      </w:r>
      <w:r>
        <w:t xml:space="preserve"> periodicity only with 0.33ms (=4</w:t>
      </w:r>
      <w:r w:rsidR="00DF3855">
        <w:t>.65 symbols) of average delay</w:t>
      </w:r>
      <w:r w:rsidR="000B556C">
        <w:t xml:space="preserve">. In our view, the performance benefit are clear comparing expected specification impact. </w:t>
      </w:r>
    </w:p>
    <w:p w14:paraId="1A270A32" w14:textId="77777777" w:rsidR="004A7A90" w:rsidRDefault="004A7A90" w:rsidP="00F72FF9">
      <w:pPr>
        <w:pStyle w:val="Doc"/>
      </w:pPr>
    </w:p>
    <w:p w14:paraId="1E1BD83F" w14:textId="504B03A2" w:rsidR="004A7A90" w:rsidRDefault="005D75EB" w:rsidP="004A7A90">
      <w:pPr>
        <w:pStyle w:val="Doc"/>
        <w:jc w:val="center"/>
      </w:pPr>
      <w:r>
        <w:rPr>
          <w:noProof/>
        </w:rPr>
        <w:drawing>
          <wp:inline distT="0" distB="0" distL="0" distR="0" wp14:anchorId="488C8209" wp14:editId="6F815948">
            <wp:extent cx="3705225" cy="23907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2390775"/>
                    </a:xfrm>
                    <a:prstGeom prst="rect">
                      <a:avLst/>
                    </a:prstGeom>
                    <a:noFill/>
                  </pic:spPr>
                </pic:pic>
              </a:graphicData>
            </a:graphic>
          </wp:inline>
        </w:drawing>
      </w:r>
    </w:p>
    <w:p w14:paraId="68D74E04" w14:textId="1A6C6508" w:rsidR="005D75EB" w:rsidRDefault="005D75EB" w:rsidP="004A7A90">
      <w:pPr>
        <w:pStyle w:val="Doc"/>
        <w:jc w:val="center"/>
      </w:pPr>
      <w:r>
        <w:rPr>
          <w:rFonts w:hint="eastAsia"/>
        </w:rPr>
        <w:t>Fig. 1 Average delay for periodicities of 16</w:t>
      </w:r>
      <w:r>
        <w:t>ms</w:t>
      </w:r>
      <w:r>
        <w:rPr>
          <w:rFonts w:hint="eastAsia"/>
        </w:rPr>
        <w:t>, 1/60</w:t>
      </w:r>
      <w:r>
        <w:t>s</w:t>
      </w:r>
      <w:r>
        <w:rPr>
          <w:rFonts w:hint="eastAsia"/>
        </w:rPr>
        <w:t>(</w:t>
      </w:r>
      <w:r>
        <w:rPr>
          <w:rFonts w:ascii="맑은 고딕" w:hAnsi="맑은 고딕" w:hint="eastAsia"/>
        </w:rPr>
        <w:t>≒</w:t>
      </w:r>
      <w:r>
        <w:t>16.67ms) and 17ms</w:t>
      </w:r>
    </w:p>
    <w:p w14:paraId="2D43B684" w14:textId="4B364FBE" w:rsidR="004A7A90" w:rsidRDefault="00DF3855" w:rsidP="00DF3855">
      <w:pPr>
        <w:pStyle w:val="rProposal"/>
      </w:pPr>
      <w:r>
        <w:rPr>
          <w:rFonts w:hint="eastAsia"/>
        </w:rPr>
        <w:t>Proposal</w:t>
      </w:r>
      <w:r w:rsidR="00A4161E">
        <w:t xml:space="preserve"> </w:t>
      </w:r>
      <w:r w:rsidR="00005FF7">
        <w:t>8</w:t>
      </w:r>
      <w:r w:rsidR="00FA3E65">
        <w:rPr>
          <w:rFonts w:hint="eastAsia"/>
        </w:rPr>
        <w:t xml:space="preserve"> </w:t>
      </w:r>
      <w:r>
        <w:rPr>
          <w:rFonts w:hint="eastAsia"/>
        </w:rPr>
        <w:t>:</w:t>
      </w:r>
      <w:r>
        <w:t xml:space="preserve"> Support non-integer periodicities by modified equation determining SPS/CG occasions. </w:t>
      </w:r>
    </w:p>
    <w:p w14:paraId="59F83162" w14:textId="663FE7C7" w:rsidR="00DF3855" w:rsidRPr="00DF3855" w:rsidRDefault="00DF3855" w:rsidP="00DF3855">
      <w:pPr>
        <w:pStyle w:val="rProposal"/>
        <w:numPr>
          <w:ilvl w:val="0"/>
          <w:numId w:val="24"/>
        </w:numPr>
        <w:ind w:firstLineChars="0"/>
      </w:pPr>
      <w:r>
        <w:rPr>
          <w:rFonts w:hint="eastAsia"/>
        </w:rPr>
        <w:t>FFS:</w:t>
      </w:r>
      <w:r>
        <w:t xml:space="preserve"> </w:t>
      </w:r>
      <w:r w:rsidR="00ED42CC">
        <w:t>How to a</w:t>
      </w:r>
      <w:r w:rsidR="000B556C">
        <w:t xml:space="preserve">dd non-integer periodicities to current periodicity parameter. </w:t>
      </w:r>
    </w:p>
    <w:p w14:paraId="0F363310" w14:textId="77777777" w:rsidR="00DF3855" w:rsidRDefault="00DF3855" w:rsidP="00DF3855">
      <w:pPr>
        <w:rPr>
          <w:rFonts w:eastAsiaTheme="minorEastAsia"/>
          <w:lang w:eastAsia="ko-KR"/>
        </w:rPr>
      </w:pPr>
    </w:p>
    <w:p w14:paraId="2D51A3A9" w14:textId="77777777" w:rsidR="00DF3855" w:rsidRPr="00ED42CC" w:rsidRDefault="00DF3855" w:rsidP="00DF3855">
      <w:pPr>
        <w:rPr>
          <w:rFonts w:eastAsiaTheme="minorEastAsia"/>
          <w:lang w:eastAsia="ko-KR"/>
        </w:rPr>
      </w:pPr>
    </w:p>
    <w:p w14:paraId="6C931F92" w14:textId="008E6AC1" w:rsidR="00250026" w:rsidRDefault="00250026" w:rsidP="00250026">
      <w:pPr>
        <w:pStyle w:val="2"/>
      </w:pPr>
      <w:r w:rsidRPr="00250026">
        <w:t>HARQ re</w:t>
      </w:r>
      <w:r>
        <w:t>-TX</w:t>
      </w:r>
      <w:r w:rsidRPr="00250026">
        <w:t xml:space="preserve"> of a TB on a different cell</w:t>
      </w:r>
      <w:r>
        <w:t xml:space="preserve"> from the cell for initial TX </w:t>
      </w:r>
    </w:p>
    <w:p w14:paraId="56C860D3" w14:textId="0D0EC5BF" w:rsidR="00250026" w:rsidRDefault="00A737F9" w:rsidP="009625FD">
      <w:pPr>
        <w:pStyle w:val="Doc"/>
      </w:pPr>
      <w:r>
        <w:rPr>
          <w:rFonts w:hint="eastAsia"/>
        </w:rPr>
        <w:t xml:space="preserve">In the last meeting, it has been </w:t>
      </w:r>
      <w:r w:rsidR="00E95E38">
        <w:t>proposed</w:t>
      </w:r>
      <w:r>
        <w:rPr>
          <w:rFonts w:hint="eastAsia"/>
        </w:rPr>
        <w:t xml:space="preserve"> to </w:t>
      </w:r>
      <w:r>
        <w:t xml:space="preserve">study </w:t>
      </w:r>
      <w:r w:rsidRPr="00A737F9">
        <w:t>the mechanisms to enable HARQ retransmission of a TB on a different cell than the cell of the initial TB transmission for CA operation on TDD cells,</w:t>
      </w:r>
      <w:r>
        <w:t xml:space="preserve"> as an enhancement of dynamic scheduling enhancement of XR. </w:t>
      </w:r>
      <w:r w:rsidR="009A6C36">
        <w:rPr>
          <w:rFonts w:hint="eastAsia"/>
        </w:rPr>
        <w:t>I</w:t>
      </w:r>
      <w:r w:rsidR="009A6C36">
        <w:t xml:space="preserve">n Rel-17 URLLC WI, it has been studied to enable HARQ-ACK transmission on different cells based on semi-static pattern and dynamic indication to solve the </w:t>
      </w:r>
      <w:r w:rsidR="009A6C36">
        <w:lastRenderedPageBreak/>
        <w:t>DL-UL collision in TDD environment.</w:t>
      </w:r>
      <w:r w:rsidR="00250026">
        <w:t xml:space="preserve"> To facilitate this kind of mechanism for PDSCH transmission, it should be considered HARQ process management, which is managed by MAC. </w:t>
      </w:r>
    </w:p>
    <w:p w14:paraId="1B793873" w14:textId="2E51DCC3" w:rsidR="00035A5D" w:rsidRDefault="003E7BC7" w:rsidP="009625FD">
      <w:pPr>
        <w:pStyle w:val="Doc"/>
      </w:pPr>
      <w:r>
        <w:t xml:space="preserve">First of all, it is not possible for UE to acquire between DL assignments for a new transmission and re-transmission, but UE can only assume based on the history of scheduling. Thus, the </w:t>
      </w:r>
      <w:r w:rsidR="00E95E38">
        <w:t xml:space="preserve">proposed mechanism </w:t>
      </w:r>
      <w:r>
        <w:t>basically requires to generate a new or existing TB based on a cell, and transmit the TB in the different cell. In this point of view, s</w:t>
      </w:r>
      <w:r w:rsidR="00250026">
        <w:t>ince TB are generated and mana</w:t>
      </w:r>
      <w:r w:rsidR="00035A5D">
        <w:t xml:space="preserve">ged in MAC layer, it would have MAC layer specification impact than PHY layer specification impact for UE to perform initial transmission and re-transmission on different cells. </w:t>
      </w:r>
    </w:p>
    <w:p w14:paraId="32C92401" w14:textId="6C2C886B" w:rsidR="003E7BC7" w:rsidRDefault="003E7BC7" w:rsidP="009625FD">
      <w:pPr>
        <w:pStyle w:val="rProposal"/>
      </w:pPr>
      <w:r>
        <w:rPr>
          <w:rFonts w:hint="eastAsia"/>
        </w:rPr>
        <w:t>O</w:t>
      </w:r>
      <w:r>
        <w:t xml:space="preserve">bservation 1: </w:t>
      </w:r>
      <w:r w:rsidR="00402ECF">
        <w:t>T</w:t>
      </w:r>
      <w:r w:rsidR="00E95E38">
        <w:t>he proposed mechanism</w:t>
      </w:r>
      <w:r>
        <w:t xml:space="preserve"> has larger impact on MAC layer operation rather than PHY layer behaviour.</w:t>
      </w:r>
    </w:p>
    <w:p w14:paraId="19E088D3" w14:textId="77777777" w:rsidR="00A737F9" w:rsidRDefault="00A737F9" w:rsidP="00C52156">
      <w:pPr>
        <w:pStyle w:val="Doc"/>
      </w:pPr>
    </w:p>
    <w:p w14:paraId="0829FD73" w14:textId="5A77B556" w:rsidR="00A737F9" w:rsidRDefault="003E7BC7" w:rsidP="00C52156">
      <w:pPr>
        <w:pStyle w:val="Doc"/>
      </w:pPr>
      <w:r>
        <w:t xml:space="preserve">On the other hand, if the proposed </w:t>
      </w:r>
      <w:r w:rsidR="00E95E38">
        <w:t>mechanism</w:t>
      </w:r>
      <w:r>
        <w:t xml:space="preserve"> is supported, </w:t>
      </w:r>
      <w:r w:rsidR="00E95E38">
        <w:t>it would double the number of HARQ process can be transmitted in a cell. Considering the hardware limitation, it would</w:t>
      </w:r>
      <w:r w:rsidR="00E95E38" w:rsidRPr="00E95E38">
        <w:t xml:space="preserve"> </w:t>
      </w:r>
      <w:r w:rsidR="00E95E38">
        <w:t>likely limit the maximum number of HARQ process per cell, which could bring performance degradation. Also, for XR traffic and its requirement, TDD wouldn’t be a proper XR-specific scenario.</w:t>
      </w:r>
    </w:p>
    <w:p w14:paraId="3FD3A154" w14:textId="09E0C835" w:rsidR="00E95E38" w:rsidRDefault="00E95E38" w:rsidP="00E95E38">
      <w:pPr>
        <w:pStyle w:val="rProposal"/>
      </w:pPr>
      <w:r>
        <w:rPr>
          <w:rFonts w:hint="eastAsia"/>
        </w:rPr>
        <w:t>O</w:t>
      </w:r>
      <w:r>
        <w:t xml:space="preserve">bservation 2: </w:t>
      </w:r>
      <w:r w:rsidR="00402ECF">
        <w:t>T</w:t>
      </w:r>
      <w:r>
        <w:t xml:space="preserve">he proposed mechanism may degrade the performance due to practical hardware limitation. </w:t>
      </w:r>
    </w:p>
    <w:p w14:paraId="64B45E82" w14:textId="6EAF98E8" w:rsidR="00E95E38" w:rsidRDefault="00E95E38" w:rsidP="00E95E38">
      <w:pPr>
        <w:pStyle w:val="rProposal"/>
      </w:pPr>
      <w:r>
        <w:rPr>
          <w:rFonts w:hint="eastAsia"/>
        </w:rPr>
        <w:t>O</w:t>
      </w:r>
      <w:r>
        <w:t xml:space="preserve">bservation 3: </w:t>
      </w:r>
      <w:r w:rsidR="00402ECF">
        <w:t>T</w:t>
      </w:r>
      <w:r>
        <w:t xml:space="preserve">he proposed mechanism seems not XR-specific. </w:t>
      </w:r>
    </w:p>
    <w:p w14:paraId="55EDC31E" w14:textId="77777777" w:rsidR="00A737F9" w:rsidRDefault="00A737F9" w:rsidP="00C52156">
      <w:pPr>
        <w:pStyle w:val="Doc"/>
        <w:rPr>
          <w:lang w:val="en-GB"/>
        </w:rPr>
      </w:pPr>
    </w:p>
    <w:p w14:paraId="283FEE30" w14:textId="536EA31B" w:rsidR="00E95E38" w:rsidRDefault="00E95E38" w:rsidP="00C52156">
      <w:pPr>
        <w:pStyle w:val="Doc"/>
        <w:rPr>
          <w:lang w:val="en-GB"/>
        </w:rPr>
      </w:pPr>
      <w:r>
        <w:rPr>
          <w:lang w:val="en-GB"/>
        </w:rPr>
        <w:t>Considering t</w:t>
      </w:r>
      <w:r>
        <w:rPr>
          <w:rFonts w:hint="eastAsia"/>
          <w:lang w:val="en-GB"/>
        </w:rPr>
        <w:t xml:space="preserve">hose point of view and </w:t>
      </w:r>
      <w:r>
        <w:rPr>
          <w:lang w:val="en-GB"/>
        </w:rPr>
        <w:t>the usefulness of</w:t>
      </w:r>
      <w:r>
        <w:rPr>
          <w:rFonts w:hint="eastAsia"/>
          <w:lang w:val="en-GB"/>
        </w:rPr>
        <w:t xml:space="preserve"> the propose</w:t>
      </w:r>
      <w:r>
        <w:rPr>
          <w:lang w:val="en-GB"/>
        </w:rPr>
        <w:t>d</w:t>
      </w:r>
      <w:r>
        <w:rPr>
          <w:rFonts w:hint="eastAsia"/>
          <w:lang w:val="en-GB"/>
        </w:rPr>
        <w:t xml:space="preserve"> mechanism</w:t>
      </w:r>
      <w:r>
        <w:rPr>
          <w:lang w:val="en-GB"/>
        </w:rPr>
        <w:t>, we think it</w:t>
      </w:r>
      <w:r>
        <w:rPr>
          <w:rFonts w:hint="eastAsia"/>
          <w:lang w:val="en-GB"/>
        </w:rPr>
        <w:t xml:space="preserve"> should be discussed </w:t>
      </w:r>
      <w:r>
        <w:rPr>
          <w:lang w:val="en-GB"/>
        </w:rPr>
        <w:t>RAN2 since the main operations of the proposal are purely conducted in MAC layer and expected impact of PHY layer are</w:t>
      </w:r>
      <w:r w:rsidR="00005FF7">
        <w:rPr>
          <w:lang w:val="en-GB"/>
        </w:rPr>
        <w:t xml:space="preserve"> the changes on the scheduling messages, like additional DCI fields. </w:t>
      </w:r>
    </w:p>
    <w:p w14:paraId="008E0362" w14:textId="26ABC72E" w:rsidR="00005FF7" w:rsidRPr="00DF3855" w:rsidRDefault="00005FF7" w:rsidP="009625FD">
      <w:pPr>
        <w:pStyle w:val="rProposal"/>
      </w:pPr>
      <w:r>
        <w:rPr>
          <w:rFonts w:hint="eastAsia"/>
        </w:rPr>
        <w:t>Proposal</w:t>
      </w:r>
      <w:r>
        <w:t xml:space="preserve"> 9</w:t>
      </w:r>
      <w:r>
        <w:rPr>
          <w:rFonts w:hint="eastAsia"/>
        </w:rPr>
        <w:t>:</w:t>
      </w:r>
      <w:r>
        <w:t xml:space="preserve"> It should be discussed by RAN2 whether </w:t>
      </w:r>
      <w:r w:rsidRPr="00005FF7">
        <w:t xml:space="preserve">to </w:t>
      </w:r>
      <w:r>
        <w:t xml:space="preserve">continue </w:t>
      </w:r>
      <w:r w:rsidRPr="00005FF7">
        <w:t>study</w:t>
      </w:r>
      <w:r w:rsidR="00402ECF">
        <w:t>ing</w:t>
      </w:r>
      <w:r w:rsidRPr="00005FF7">
        <w:t xml:space="preserve"> the mechanisms to enable HARQ retransmission of a TB on a different cell than the cell of the initial TB transmission for CA operation on TDD cells</w:t>
      </w:r>
      <w:r>
        <w:t>.</w:t>
      </w:r>
    </w:p>
    <w:p w14:paraId="3F89E5C1" w14:textId="77777777" w:rsidR="00E95E38" w:rsidRPr="009625FD" w:rsidRDefault="00E95E38" w:rsidP="00C52156">
      <w:pPr>
        <w:pStyle w:val="Doc"/>
        <w:rPr>
          <w:lang w:val="en-GB"/>
        </w:rPr>
      </w:pPr>
    </w:p>
    <w:p w14:paraId="57550BF3" w14:textId="3C069636" w:rsidR="00B04CE0" w:rsidRDefault="00B04CE0" w:rsidP="00B04CE0">
      <w:pPr>
        <w:pStyle w:val="TdocHeading1"/>
      </w:pPr>
      <w:r>
        <w:t>Conclusion</w:t>
      </w:r>
    </w:p>
    <w:p w14:paraId="22EAA901" w14:textId="1292CCA8" w:rsidR="00FA08CD" w:rsidRDefault="00FA08CD" w:rsidP="00B04CE0">
      <w:pPr>
        <w:pStyle w:val="Doc"/>
      </w:pPr>
      <w:r w:rsidRPr="00FA08CD">
        <w:rPr>
          <w:rFonts w:hint="eastAsia"/>
        </w:rPr>
        <w:t xml:space="preserve">In this contribution, </w:t>
      </w:r>
      <w:r w:rsidR="00FF4D2E" w:rsidRPr="00FF4D2E">
        <w:t xml:space="preserve">we </w:t>
      </w:r>
      <w:r w:rsidR="00FF4D2E">
        <w:t>shared</w:t>
      </w:r>
      <w:r w:rsidR="00FF4D2E" w:rsidRPr="00FF4D2E">
        <w:t xml:space="preserve"> our views on the potential enhancements of </w:t>
      </w:r>
      <w:r w:rsidR="00B04CE0" w:rsidRPr="00B04CE0">
        <w:t xml:space="preserve">capacity enhancement techniques </w:t>
      </w:r>
      <w:r w:rsidR="00FF4D2E" w:rsidRPr="00FF4D2E">
        <w:t>for XR</w:t>
      </w:r>
      <w:r w:rsidRPr="00FA08CD">
        <w:t>.</w:t>
      </w:r>
      <w:r w:rsidR="006054CD">
        <w:t xml:space="preserve"> Following are proposed for </w:t>
      </w:r>
      <w:r w:rsidR="006054CD" w:rsidRPr="006054CD">
        <w:t>XR-specific capacity improvement</w:t>
      </w:r>
      <w:r w:rsidR="006054CD">
        <w:t>:</w:t>
      </w:r>
    </w:p>
    <w:p w14:paraId="73AEEAE4" w14:textId="77777777" w:rsidR="00402ECF" w:rsidRPr="0059786F" w:rsidRDefault="00402ECF" w:rsidP="00402ECF">
      <w:pPr>
        <w:pStyle w:val="rProposal"/>
      </w:pPr>
      <w:r>
        <w:rPr>
          <w:rFonts w:hint="eastAsia"/>
        </w:rPr>
        <w:t xml:space="preserve">Proposal 1: </w:t>
      </w:r>
      <w:r>
        <w:t xml:space="preserve">If CG usage indication is supported, </w:t>
      </w:r>
      <w:r>
        <w:rPr>
          <w:rFonts w:hint="eastAsia"/>
        </w:rPr>
        <w:t xml:space="preserve">it is necessary to study </w:t>
      </w:r>
      <w:r>
        <w:t>the timeline for CG usage indication.</w:t>
      </w:r>
    </w:p>
    <w:p w14:paraId="1876356D" w14:textId="77777777" w:rsidR="00402ECF" w:rsidRPr="00833FBA" w:rsidRDefault="00402ECF" w:rsidP="00402ECF">
      <w:pPr>
        <w:pStyle w:val="rProposal"/>
      </w:pPr>
      <w:r>
        <w:rPr>
          <w:rFonts w:hint="eastAsia"/>
        </w:rPr>
        <w:t xml:space="preserve">Proposal </w:t>
      </w:r>
      <w:r>
        <w:t>2</w:t>
      </w:r>
      <w:r>
        <w:rPr>
          <w:rFonts w:hint="eastAsia"/>
        </w:rPr>
        <w:t xml:space="preserve">: </w:t>
      </w:r>
      <w:r>
        <w:t xml:space="preserve">If CG usage indication is supported, CG usage indication is configured per CG configuration. </w:t>
      </w:r>
    </w:p>
    <w:p w14:paraId="09EC4F2C" w14:textId="77777777" w:rsidR="00402ECF" w:rsidRDefault="00402ECF" w:rsidP="00402ECF">
      <w:pPr>
        <w:pStyle w:val="rProposal"/>
      </w:pPr>
      <w:r>
        <w:rPr>
          <w:rFonts w:hint="eastAsia"/>
        </w:rPr>
        <w:lastRenderedPageBreak/>
        <w:t xml:space="preserve">Proposal </w:t>
      </w:r>
      <w:r>
        <w:t>3</w:t>
      </w:r>
      <w:r>
        <w:rPr>
          <w:rFonts w:hint="eastAsia"/>
        </w:rPr>
        <w:t xml:space="preserve">: </w:t>
      </w:r>
      <w:r>
        <w:t>If CG usage indication is supported, following options can be considered to indicate unused CG PUSCH occasion(s) or resource(s):</w:t>
      </w:r>
    </w:p>
    <w:p w14:paraId="49A603C8" w14:textId="77777777" w:rsidR="00402ECF" w:rsidRDefault="00402ECF" w:rsidP="00402ECF">
      <w:pPr>
        <w:pStyle w:val="rProposal"/>
        <w:numPr>
          <w:ilvl w:val="0"/>
          <w:numId w:val="38"/>
        </w:numPr>
        <w:ind w:firstLineChars="0"/>
      </w:pPr>
      <w:r>
        <w:rPr>
          <w:rFonts w:hint="eastAsia"/>
        </w:rPr>
        <w:t>Option 1</w:t>
      </w:r>
      <w:r>
        <w:t xml:space="preserve">: Indicating CG occasion that wouldn’t be used at UE side. </w:t>
      </w:r>
    </w:p>
    <w:p w14:paraId="00EBDD5C" w14:textId="77777777" w:rsidR="00402ECF" w:rsidRDefault="00402ECF" w:rsidP="00402ECF">
      <w:pPr>
        <w:pStyle w:val="rProposal"/>
        <w:numPr>
          <w:ilvl w:val="0"/>
          <w:numId w:val="38"/>
        </w:numPr>
        <w:ind w:firstLineChars="0"/>
      </w:pPr>
      <w:r>
        <w:rPr>
          <w:rFonts w:hint="eastAsia"/>
        </w:rPr>
        <w:t>Option 2</w:t>
      </w:r>
      <w:r>
        <w:t xml:space="preserve">: Indicating CG period that wouldn’t be used at UE side. </w:t>
      </w:r>
    </w:p>
    <w:p w14:paraId="7397D3C2" w14:textId="77777777" w:rsidR="00402ECF" w:rsidRDefault="00402ECF" w:rsidP="00402ECF">
      <w:pPr>
        <w:pStyle w:val="rProposal"/>
        <w:numPr>
          <w:ilvl w:val="0"/>
          <w:numId w:val="38"/>
        </w:numPr>
        <w:ind w:firstLineChars="0"/>
      </w:pPr>
      <w:r>
        <w:rPr>
          <w:rFonts w:hint="eastAsia"/>
        </w:rPr>
        <w:t>Option</w:t>
      </w:r>
      <w:r>
        <w:t xml:space="preserve"> </w:t>
      </w:r>
      <w:r>
        <w:rPr>
          <w:rFonts w:hint="eastAsia"/>
        </w:rPr>
        <w:t>3</w:t>
      </w:r>
      <w:r>
        <w:t xml:space="preserve">: Indicating HARQ processes for the CG that wouldn’t be used at UE side. </w:t>
      </w:r>
    </w:p>
    <w:p w14:paraId="22A3A24E" w14:textId="77777777" w:rsidR="00402ECF" w:rsidRDefault="00402ECF" w:rsidP="00402ECF">
      <w:pPr>
        <w:pStyle w:val="rProposal"/>
      </w:pPr>
      <w:r>
        <w:rPr>
          <w:rFonts w:hint="eastAsia"/>
        </w:rPr>
        <w:t xml:space="preserve">Proposal </w:t>
      </w:r>
      <w:r>
        <w:t>4</w:t>
      </w:r>
      <w:r>
        <w:rPr>
          <w:rFonts w:hint="eastAsia"/>
        </w:rPr>
        <w:t xml:space="preserve">: </w:t>
      </w:r>
      <w:r>
        <w:t>If CG usage indication is supported, following options can be considered to indicate unused CG PUSCH occasion(s) or resource(s):</w:t>
      </w:r>
    </w:p>
    <w:p w14:paraId="7A964DD8" w14:textId="77777777" w:rsidR="00402ECF" w:rsidRDefault="00402ECF" w:rsidP="00402ECF">
      <w:pPr>
        <w:pStyle w:val="rProposal"/>
        <w:numPr>
          <w:ilvl w:val="0"/>
          <w:numId w:val="38"/>
        </w:numPr>
        <w:ind w:firstLineChars="0"/>
      </w:pPr>
      <w:r>
        <w:rPr>
          <w:rFonts w:hint="eastAsia"/>
        </w:rPr>
        <w:t>Option 1</w:t>
      </w:r>
      <w:r>
        <w:t xml:space="preserve">: Multiplexed in PUSCH, as a part of a CG-UCI. </w:t>
      </w:r>
    </w:p>
    <w:p w14:paraId="73354A8E" w14:textId="77777777" w:rsidR="00402ECF" w:rsidRDefault="00402ECF" w:rsidP="00402ECF">
      <w:pPr>
        <w:pStyle w:val="rProposal"/>
        <w:numPr>
          <w:ilvl w:val="0"/>
          <w:numId w:val="38"/>
        </w:numPr>
        <w:ind w:firstLineChars="0"/>
      </w:pPr>
      <w:r>
        <w:rPr>
          <w:rFonts w:hint="eastAsia"/>
        </w:rPr>
        <w:t>Option 2</w:t>
      </w:r>
      <w:r>
        <w:t>: Multiplexed in PUSCH or PUCCH, as a new type of UCI.</w:t>
      </w:r>
    </w:p>
    <w:p w14:paraId="5E7A29C9" w14:textId="77777777" w:rsidR="00402ECF" w:rsidRDefault="00402ECF" w:rsidP="00402ECF">
      <w:pPr>
        <w:pStyle w:val="rProposal"/>
        <w:numPr>
          <w:ilvl w:val="0"/>
          <w:numId w:val="38"/>
        </w:numPr>
        <w:ind w:firstLineChars="0"/>
      </w:pPr>
      <w:r>
        <w:t>FFS: How to multiplex CG usage indication with other UCI</w:t>
      </w:r>
    </w:p>
    <w:p w14:paraId="0FA1FC22" w14:textId="77777777" w:rsidR="00402ECF" w:rsidRPr="00EF5695" w:rsidRDefault="00402ECF" w:rsidP="00402ECF">
      <w:pPr>
        <w:pStyle w:val="rProposal"/>
      </w:pPr>
      <w:r>
        <w:t xml:space="preserve">Proposal 5: At least for jitter handling with CG configuration, it is necessary to allocate multiple CG occasions in a periodicity with single CG configurations. </w:t>
      </w:r>
    </w:p>
    <w:p w14:paraId="54525E58" w14:textId="77777777" w:rsidR="00402ECF" w:rsidRDefault="00402ECF" w:rsidP="00402ECF">
      <w:pPr>
        <w:pStyle w:val="rProposal"/>
      </w:pPr>
      <w:r>
        <w:t xml:space="preserve">Proposal 6: </w:t>
      </w:r>
      <w:r w:rsidRPr="00694AE2">
        <w:t xml:space="preserve">If </w:t>
      </w:r>
      <w:r>
        <w:t>multiple CG occasion in a periodicity within a single configuration</w:t>
      </w:r>
      <w:r w:rsidRPr="00694AE2">
        <w:t xml:space="preserve"> is supported, foll</w:t>
      </w:r>
      <w:r>
        <w:t>owing options can be considered:</w:t>
      </w:r>
    </w:p>
    <w:p w14:paraId="76FA466F" w14:textId="77777777" w:rsidR="00402ECF" w:rsidRDefault="00402ECF" w:rsidP="00402ECF">
      <w:pPr>
        <w:pStyle w:val="rProposal"/>
        <w:numPr>
          <w:ilvl w:val="0"/>
          <w:numId w:val="39"/>
        </w:numPr>
        <w:ind w:firstLineChars="0"/>
      </w:pPr>
      <w:r>
        <w:t>Option 1: The design of single DCI scheduling multiple PDSCH/PUSCH can be re-used for  activation DCI.</w:t>
      </w:r>
    </w:p>
    <w:p w14:paraId="7A6D02D0" w14:textId="77777777" w:rsidR="00402ECF" w:rsidRDefault="00402ECF" w:rsidP="00402ECF">
      <w:pPr>
        <w:pStyle w:val="rProposal"/>
        <w:numPr>
          <w:ilvl w:val="0"/>
          <w:numId w:val="39"/>
        </w:numPr>
        <w:ind w:firstLineChars="0"/>
      </w:pPr>
      <w:r>
        <w:t>Option 2: The design of PUSCH repetition in Rel-17 can be re-used.</w:t>
      </w:r>
    </w:p>
    <w:p w14:paraId="4311D462" w14:textId="77777777" w:rsidR="00402ECF" w:rsidRDefault="00402ECF" w:rsidP="00402ECF">
      <w:pPr>
        <w:pStyle w:val="rProposal"/>
        <w:numPr>
          <w:ilvl w:val="0"/>
          <w:numId w:val="39"/>
        </w:numPr>
        <w:ind w:firstLineChars="0"/>
      </w:pPr>
      <w:r>
        <w:t>Option 3: The design of NR-U configured grant can be re-used.</w:t>
      </w:r>
    </w:p>
    <w:p w14:paraId="1E0D7FF5" w14:textId="77777777" w:rsidR="00402ECF" w:rsidRDefault="00402ECF" w:rsidP="00402ECF">
      <w:pPr>
        <w:pStyle w:val="rProposal"/>
      </w:pPr>
      <w:r>
        <w:rPr>
          <w:rFonts w:hint="eastAsia"/>
        </w:rPr>
        <w:t xml:space="preserve">Proposal </w:t>
      </w:r>
      <w:r>
        <w:t>7</w:t>
      </w:r>
      <w:r>
        <w:rPr>
          <w:rFonts w:hint="eastAsia"/>
        </w:rPr>
        <w:t xml:space="preserve">: </w:t>
      </w:r>
      <w:r>
        <w:t>I</w:t>
      </w:r>
      <w:r>
        <w:rPr>
          <w:rFonts w:hint="eastAsia"/>
        </w:rPr>
        <w:t xml:space="preserve">t can be considered to activate/release </w:t>
      </w:r>
      <w:r>
        <w:t xml:space="preserve">multiple </w:t>
      </w:r>
      <w:r>
        <w:rPr>
          <w:rFonts w:hint="eastAsia"/>
        </w:rPr>
        <w:t xml:space="preserve">CG </w:t>
      </w:r>
      <w:r>
        <w:t xml:space="preserve">with a single UL grant. </w:t>
      </w:r>
    </w:p>
    <w:p w14:paraId="06F29101" w14:textId="77777777" w:rsidR="00402ECF" w:rsidRDefault="00402ECF" w:rsidP="00402ECF">
      <w:pPr>
        <w:pStyle w:val="rProposal"/>
      </w:pPr>
      <w:r>
        <w:rPr>
          <w:rFonts w:hint="eastAsia"/>
        </w:rPr>
        <w:t>Proposal</w:t>
      </w:r>
      <w:r>
        <w:t xml:space="preserve"> 8</w:t>
      </w:r>
      <w:r>
        <w:rPr>
          <w:rFonts w:hint="eastAsia"/>
        </w:rPr>
        <w:t xml:space="preserve"> :</w:t>
      </w:r>
      <w:r>
        <w:t xml:space="preserve"> Support non-integer periodicities by modified equation determining SPS/CG occasions. </w:t>
      </w:r>
    </w:p>
    <w:p w14:paraId="22B19347" w14:textId="77777777" w:rsidR="00402ECF" w:rsidRPr="00DF3855" w:rsidRDefault="00402ECF" w:rsidP="00402ECF">
      <w:pPr>
        <w:pStyle w:val="rProposal"/>
        <w:numPr>
          <w:ilvl w:val="0"/>
          <w:numId w:val="24"/>
        </w:numPr>
        <w:ind w:firstLineChars="0"/>
      </w:pPr>
      <w:r>
        <w:rPr>
          <w:rFonts w:hint="eastAsia"/>
        </w:rPr>
        <w:t>FFS:</w:t>
      </w:r>
      <w:r>
        <w:t xml:space="preserve"> How to add non-integer periodicities to current periodicity parameter. </w:t>
      </w:r>
    </w:p>
    <w:p w14:paraId="116BE250" w14:textId="77777777" w:rsidR="00402ECF" w:rsidRDefault="00402ECF" w:rsidP="00402ECF">
      <w:pPr>
        <w:pStyle w:val="rProposal"/>
      </w:pPr>
      <w:r>
        <w:rPr>
          <w:rFonts w:hint="eastAsia"/>
        </w:rPr>
        <w:t>O</w:t>
      </w:r>
      <w:r>
        <w:t>bservation 1: The proposed mechanism has larger impact on MAC layer operation rather than PHY layer behaviour.</w:t>
      </w:r>
    </w:p>
    <w:p w14:paraId="72D5D088" w14:textId="77777777" w:rsidR="00402ECF" w:rsidRDefault="00402ECF" w:rsidP="00402ECF">
      <w:pPr>
        <w:pStyle w:val="rProposal"/>
      </w:pPr>
      <w:r>
        <w:rPr>
          <w:rFonts w:hint="eastAsia"/>
        </w:rPr>
        <w:t>O</w:t>
      </w:r>
      <w:r>
        <w:t xml:space="preserve">bservation 2: The proposed mechanism may degrade the performance due to practical hardware limitation. </w:t>
      </w:r>
    </w:p>
    <w:p w14:paraId="0FADD776" w14:textId="77777777" w:rsidR="00402ECF" w:rsidRDefault="00402ECF" w:rsidP="00402ECF">
      <w:pPr>
        <w:pStyle w:val="rProposal"/>
      </w:pPr>
      <w:r>
        <w:rPr>
          <w:rFonts w:hint="eastAsia"/>
        </w:rPr>
        <w:t>O</w:t>
      </w:r>
      <w:r>
        <w:t xml:space="preserve">bservation 3: The proposed mechanism seems not XR-specific. </w:t>
      </w:r>
    </w:p>
    <w:p w14:paraId="1B2F8CA2" w14:textId="77777777" w:rsidR="00402ECF" w:rsidRPr="00DF3855" w:rsidRDefault="00402ECF" w:rsidP="00402ECF">
      <w:pPr>
        <w:pStyle w:val="rProposal"/>
      </w:pPr>
      <w:r>
        <w:rPr>
          <w:rFonts w:hint="eastAsia"/>
        </w:rPr>
        <w:t>Proposal</w:t>
      </w:r>
      <w:r>
        <w:t xml:space="preserve"> 9</w:t>
      </w:r>
      <w:r>
        <w:rPr>
          <w:rFonts w:hint="eastAsia"/>
        </w:rPr>
        <w:t>:</w:t>
      </w:r>
      <w:r>
        <w:t xml:space="preserve"> It should be discussed by RAN2 whether </w:t>
      </w:r>
      <w:r w:rsidRPr="00005FF7">
        <w:t xml:space="preserve">to </w:t>
      </w:r>
      <w:r>
        <w:t xml:space="preserve">continue </w:t>
      </w:r>
      <w:r w:rsidRPr="00005FF7">
        <w:t>study</w:t>
      </w:r>
      <w:r>
        <w:t>ing</w:t>
      </w:r>
      <w:r w:rsidRPr="00005FF7">
        <w:t xml:space="preserve"> the mechanisms to enable HARQ retransmission of a TB on a different cell than the cell of the initial TB transmission for CA operation on TDD cells</w:t>
      </w:r>
      <w:r>
        <w:t>.</w:t>
      </w:r>
    </w:p>
    <w:p w14:paraId="47C43240" w14:textId="77777777" w:rsidR="009625FD" w:rsidRPr="00402ECF" w:rsidRDefault="009625FD" w:rsidP="00B04CE0">
      <w:pPr>
        <w:pStyle w:val="Doc"/>
        <w:rPr>
          <w:lang w:val="en-GB"/>
        </w:rPr>
      </w:pPr>
    </w:p>
    <w:p w14:paraId="74B8401E" w14:textId="394A0364" w:rsidR="00B04CE0" w:rsidRDefault="00B04CE0" w:rsidP="00B04CE0">
      <w:pPr>
        <w:pStyle w:val="1"/>
        <w:numPr>
          <w:ilvl w:val="0"/>
          <w:numId w:val="1"/>
        </w:numPr>
        <w:ind w:firstLine="0"/>
        <w:rPr>
          <w:rFonts w:eastAsia="바탕"/>
          <w:b/>
          <w:lang w:eastAsia="ko-KR"/>
        </w:rPr>
      </w:pPr>
      <w:r>
        <w:rPr>
          <w:rFonts w:eastAsia="바탕"/>
          <w:b/>
          <w:lang w:eastAsia="ko-KR"/>
        </w:rPr>
        <w:t>References</w:t>
      </w:r>
    </w:p>
    <w:p w14:paraId="729554FF" w14:textId="1F890755" w:rsidR="009A44E2" w:rsidRPr="00E779B8" w:rsidRDefault="002E5FB7" w:rsidP="00DE502F">
      <w:pPr>
        <w:pStyle w:val="References"/>
        <w:tabs>
          <w:tab w:val="clear" w:pos="6031"/>
        </w:tabs>
        <w:ind w:left="426" w:hanging="426"/>
        <w:jc w:val="left"/>
      </w:pPr>
      <w:r>
        <w:rPr>
          <w:rFonts w:eastAsiaTheme="minorEastAsia" w:hint="eastAsia"/>
          <w:lang w:eastAsia="ko-KR"/>
        </w:rPr>
        <w:t>RAN</w:t>
      </w:r>
      <w:r>
        <w:rPr>
          <w:rFonts w:eastAsiaTheme="minorEastAsia"/>
          <w:lang w:eastAsia="ko-KR"/>
        </w:rPr>
        <w:t>1#1</w:t>
      </w:r>
      <w:r w:rsidR="00C83F08">
        <w:rPr>
          <w:rFonts w:eastAsiaTheme="minorEastAsia"/>
          <w:lang w:eastAsia="ko-KR"/>
        </w:rPr>
        <w:t>10</w:t>
      </w:r>
      <w:r w:rsidR="00EF4632">
        <w:rPr>
          <w:rFonts w:eastAsiaTheme="minorEastAsia"/>
          <w:lang w:eastAsia="ko-KR"/>
        </w:rPr>
        <w:t>bis</w:t>
      </w:r>
      <w:r>
        <w:rPr>
          <w:rFonts w:eastAsiaTheme="minorEastAsia"/>
          <w:lang w:eastAsia="ko-KR"/>
        </w:rPr>
        <w:t>-e Chairman’s notes</w:t>
      </w:r>
    </w:p>
    <w:sectPr w:rsidR="009A44E2" w:rsidRPr="00E779B8"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B056B" w14:textId="77777777" w:rsidR="002A7B8D" w:rsidRDefault="002A7B8D" w:rsidP="00CB15B0">
      <w:pPr>
        <w:spacing w:before="0" w:after="0" w:line="240" w:lineRule="auto"/>
      </w:pPr>
      <w:r>
        <w:separator/>
      </w:r>
    </w:p>
  </w:endnote>
  <w:endnote w:type="continuationSeparator" w:id="0">
    <w:p w14:paraId="06FA9B2C" w14:textId="77777777" w:rsidR="002A7B8D" w:rsidRDefault="002A7B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altName w:val="Arial Unicode MS"/>
    <w:panose1 w:val="020B0600000101010101"/>
    <w:charset w:val="81"/>
    <w:family w:val="modern"/>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C0F2E" w14:textId="77777777" w:rsidR="002A7B8D" w:rsidRDefault="002A7B8D" w:rsidP="00CB15B0">
      <w:pPr>
        <w:spacing w:before="0" w:after="0" w:line="240" w:lineRule="auto"/>
      </w:pPr>
      <w:r>
        <w:separator/>
      </w:r>
    </w:p>
  </w:footnote>
  <w:footnote w:type="continuationSeparator" w:id="0">
    <w:p w14:paraId="1C80224C" w14:textId="77777777" w:rsidR="002A7B8D" w:rsidRDefault="002A7B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1F00FAE"/>
    <w:multiLevelType w:val="hybridMultilevel"/>
    <w:tmpl w:val="959AB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2993491"/>
    <w:multiLevelType w:val="hybridMultilevel"/>
    <w:tmpl w:val="B27E0C8C"/>
    <w:lvl w:ilvl="0" w:tplc="04090011">
      <w:start w:val="1"/>
      <w:numFmt w:val="decimalEnclosedCircle"/>
      <w:lvlText w:val="%1"/>
      <w:lvlJc w:val="left"/>
      <w:pPr>
        <w:ind w:left="1225" w:hanging="400"/>
      </w:pPr>
    </w:lvl>
    <w:lvl w:ilvl="1" w:tplc="04090019">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6">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8">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40E3498"/>
    <w:multiLevelType w:val="hybridMultilevel"/>
    <w:tmpl w:val="02D62248"/>
    <w:lvl w:ilvl="0" w:tplc="4202C932">
      <w:start w:val="1"/>
      <w:numFmt w:val="bullet"/>
      <w:lvlText w:val=""/>
      <w:lvlJc w:val="left"/>
      <w:pPr>
        <w:ind w:left="1522" w:hanging="400"/>
      </w:pPr>
      <w:rPr>
        <w:rFonts w:ascii="Symbol" w:eastAsia="MS Mincho" w:hAnsi="Symbol" w:cs="Times New Roman" w:hint="default"/>
      </w:rPr>
    </w:lvl>
    <w:lvl w:ilvl="1" w:tplc="04090003" w:tentative="1">
      <w:start w:val="1"/>
      <w:numFmt w:val="bullet"/>
      <w:lvlText w:val=""/>
      <w:lvlJc w:val="left"/>
      <w:pPr>
        <w:ind w:left="1922" w:hanging="400"/>
      </w:pPr>
      <w:rPr>
        <w:rFonts w:ascii="Wingdings" w:hAnsi="Wingdings" w:hint="default"/>
      </w:rPr>
    </w:lvl>
    <w:lvl w:ilvl="2" w:tplc="04090005" w:tentative="1">
      <w:start w:val="1"/>
      <w:numFmt w:val="bullet"/>
      <w:lvlText w:val=""/>
      <w:lvlJc w:val="left"/>
      <w:pPr>
        <w:ind w:left="2322" w:hanging="400"/>
      </w:pPr>
      <w:rPr>
        <w:rFonts w:ascii="Wingdings" w:hAnsi="Wingdings" w:hint="default"/>
      </w:rPr>
    </w:lvl>
    <w:lvl w:ilvl="3" w:tplc="04090001" w:tentative="1">
      <w:start w:val="1"/>
      <w:numFmt w:val="bullet"/>
      <w:lvlText w:val=""/>
      <w:lvlJc w:val="left"/>
      <w:pPr>
        <w:ind w:left="2722" w:hanging="400"/>
      </w:pPr>
      <w:rPr>
        <w:rFonts w:ascii="Wingdings" w:hAnsi="Wingdings" w:hint="default"/>
      </w:rPr>
    </w:lvl>
    <w:lvl w:ilvl="4" w:tplc="04090003" w:tentative="1">
      <w:start w:val="1"/>
      <w:numFmt w:val="bullet"/>
      <w:lvlText w:val=""/>
      <w:lvlJc w:val="left"/>
      <w:pPr>
        <w:ind w:left="3122" w:hanging="400"/>
      </w:pPr>
      <w:rPr>
        <w:rFonts w:ascii="Wingdings" w:hAnsi="Wingdings" w:hint="default"/>
      </w:rPr>
    </w:lvl>
    <w:lvl w:ilvl="5" w:tplc="04090005" w:tentative="1">
      <w:start w:val="1"/>
      <w:numFmt w:val="bullet"/>
      <w:lvlText w:val=""/>
      <w:lvlJc w:val="left"/>
      <w:pPr>
        <w:ind w:left="3522" w:hanging="400"/>
      </w:pPr>
      <w:rPr>
        <w:rFonts w:ascii="Wingdings" w:hAnsi="Wingdings" w:hint="default"/>
      </w:rPr>
    </w:lvl>
    <w:lvl w:ilvl="6" w:tplc="04090001" w:tentative="1">
      <w:start w:val="1"/>
      <w:numFmt w:val="bullet"/>
      <w:lvlText w:val=""/>
      <w:lvlJc w:val="left"/>
      <w:pPr>
        <w:ind w:left="3922" w:hanging="400"/>
      </w:pPr>
      <w:rPr>
        <w:rFonts w:ascii="Wingdings" w:hAnsi="Wingdings" w:hint="default"/>
      </w:rPr>
    </w:lvl>
    <w:lvl w:ilvl="7" w:tplc="04090003" w:tentative="1">
      <w:start w:val="1"/>
      <w:numFmt w:val="bullet"/>
      <w:lvlText w:val=""/>
      <w:lvlJc w:val="left"/>
      <w:pPr>
        <w:ind w:left="4322" w:hanging="400"/>
      </w:pPr>
      <w:rPr>
        <w:rFonts w:ascii="Wingdings" w:hAnsi="Wingdings" w:hint="default"/>
      </w:rPr>
    </w:lvl>
    <w:lvl w:ilvl="8" w:tplc="04090005" w:tentative="1">
      <w:start w:val="1"/>
      <w:numFmt w:val="bullet"/>
      <w:lvlText w:val=""/>
      <w:lvlJc w:val="left"/>
      <w:pPr>
        <w:ind w:left="4722"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DFB7A0D"/>
    <w:multiLevelType w:val="hybridMultilevel"/>
    <w:tmpl w:val="4D46C86E"/>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7">
    <w:nsid w:val="40DE34BC"/>
    <w:multiLevelType w:val="singleLevel"/>
    <w:tmpl w:val="40DE34BC"/>
    <w:lvl w:ilvl="0">
      <w:start w:val="1"/>
      <w:numFmt w:val="decimal"/>
      <w:lvlText w:val="%1."/>
      <w:lvlJc w:val="left"/>
      <w:pPr>
        <w:tabs>
          <w:tab w:val="left" w:pos="360"/>
        </w:tabs>
        <w:ind w:left="360" w:hanging="360"/>
      </w:pPr>
    </w:lvl>
  </w:abstractNum>
  <w:abstractNum w:abstractNumId="18">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nsid w:val="4C3000AB"/>
    <w:multiLevelType w:val="hybridMultilevel"/>
    <w:tmpl w:val="347A95C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2">
    <w:nsid w:val="504B12AC"/>
    <w:multiLevelType w:val="hybridMultilevel"/>
    <w:tmpl w:val="2A50C34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65A52DED"/>
    <w:multiLevelType w:val="hybridMultilevel"/>
    <w:tmpl w:val="3DA42460"/>
    <w:lvl w:ilvl="0" w:tplc="0B228B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nsid w:val="74400512"/>
    <w:multiLevelType w:val="hybridMultilevel"/>
    <w:tmpl w:val="5CFCC9D0"/>
    <w:lvl w:ilvl="0" w:tplc="0409000F">
      <w:start w:val="1"/>
      <w:numFmt w:val="decimal"/>
      <w:lvlText w:val="%1."/>
      <w:lvlJc w:val="left"/>
      <w:pPr>
        <w:ind w:left="1225" w:hanging="400"/>
      </w:p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32">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0"/>
  </w:num>
  <w:num w:numId="3">
    <w:abstractNumId w:val="12"/>
  </w:num>
  <w:num w:numId="4">
    <w:abstractNumId w:val="25"/>
  </w:num>
  <w:num w:numId="5">
    <w:abstractNumId w:val="28"/>
  </w:num>
  <w:num w:numId="6">
    <w:abstractNumId w:val="32"/>
  </w:num>
  <w:num w:numId="7">
    <w:abstractNumId w:val="7"/>
  </w:num>
  <w:num w:numId="8">
    <w:abstractNumId w:val="17"/>
  </w:num>
  <w:num w:numId="9">
    <w:abstractNumId w:val="10"/>
  </w:num>
  <w:num w:numId="10">
    <w:abstractNumId w:val="13"/>
  </w:num>
  <w:num w:numId="11">
    <w:abstractNumId w:val="16"/>
  </w:num>
  <w:num w:numId="12">
    <w:abstractNumId w:val="21"/>
  </w:num>
  <w:num w:numId="13">
    <w:abstractNumId w:val="23"/>
  </w:num>
  <w:num w:numId="14">
    <w:abstractNumId w:val="24"/>
  </w:num>
  <w:num w:numId="15">
    <w:abstractNumId w:val="3"/>
  </w:num>
  <w:num w:numId="16">
    <w:abstractNumId w:val="1"/>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4"/>
  </w:num>
  <w:num w:numId="20">
    <w:abstractNumId w:val="18"/>
  </w:num>
  <w:num w:numId="21">
    <w:abstractNumId w:val="4"/>
  </w:num>
  <w:num w:numId="22">
    <w:abstractNumId w:val="19"/>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9"/>
  </w:num>
  <w:num w:numId="28">
    <w:abstractNumId w:val="9"/>
  </w:num>
  <w:num w:numId="29">
    <w:abstractNumId w:val="31"/>
  </w:num>
  <w:num w:numId="30">
    <w:abstractNumId w:val="5"/>
  </w:num>
  <w:num w:numId="31">
    <w:abstractNumId w:val="26"/>
  </w:num>
  <w:num w:numId="32">
    <w:abstractNumId w:val="6"/>
  </w:num>
  <w:num w:numId="33">
    <w:abstractNumId w:val="20"/>
  </w:num>
  <w:num w:numId="34">
    <w:abstractNumId w:val="22"/>
  </w:num>
  <w:num w:numId="35">
    <w:abstractNumId w:val="27"/>
  </w:num>
  <w:num w:numId="36">
    <w:abstractNumId w:val="30"/>
  </w:num>
  <w:num w:numId="37">
    <w:abstractNumId w:val="11"/>
  </w:num>
  <w:num w:numId="38">
    <w:abstractNumId w:val="15"/>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82E"/>
    <w:rsid w:val="00137995"/>
    <w:rsid w:val="00137A93"/>
    <w:rsid w:val="00137BE4"/>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2BB0"/>
    <w:rsid w:val="00B332E5"/>
    <w:rsid w:val="00B3344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0E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E55763"/>
    <w:pPr>
      <w:spacing w:before="0" w:after="0" w:line="220" w:lineRule="exact"/>
      <w:ind w:left="0" w:firstLine="0"/>
      <w:jc w:val="left"/>
    </w:pPr>
    <w:rPr>
      <w:rFonts w:eastAsia="바탕"/>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E55763"/>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19BF2-8671-4891-A3A1-477DC28F7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2230</Words>
  <Characters>12716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5</cp:revision>
  <cp:lastPrinted>2018-11-01T13:47:00Z</cp:lastPrinted>
  <dcterms:created xsi:type="dcterms:W3CDTF">2022-11-07T12:13:00Z</dcterms:created>
  <dcterms:modified xsi:type="dcterms:W3CDTF">2022-11-07T12:59:00Z</dcterms:modified>
</cp:coreProperties>
</file>